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F664D" w14:textId="45FFCE44" w:rsidR="000044FA" w:rsidRPr="00ED73A8" w:rsidRDefault="000F4642" w:rsidP="000F4642">
      <w:pPr>
        <w:spacing w:line="240" w:lineRule="auto"/>
        <w:jc w:val="both"/>
        <w:rPr>
          <w:rFonts w:ascii="Cambria" w:eastAsia="Times New Roman" w:hAnsi="Cambria" w:cs="Times New Roman"/>
          <w:sz w:val="21"/>
          <w:szCs w:val="21"/>
          <w:highlight w:val="yellow"/>
        </w:rPr>
      </w:pPr>
      <w:bookmarkStart w:id="0" w:name="_Hlk107914080"/>
      <w:bookmarkStart w:id="1" w:name="_GoBack"/>
      <w:bookmarkEnd w:id="1"/>
      <w:r>
        <w:rPr>
          <w:rFonts w:ascii="Times New Roman" w:hAnsi="Times New Roman"/>
          <w:noProof/>
          <w:sz w:val="24"/>
          <w:szCs w:val="24"/>
        </w:rPr>
        <w:drawing>
          <wp:anchor distT="36576" distB="36576" distL="36576" distR="36576" simplePos="0" relativeHeight="251991040" behindDoc="0" locked="0" layoutInCell="1" allowOverlap="1" wp14:anchorId="0198D023" wp14:editId="7EF0A054">
            <wp:simplePos x="0" y="0"/>
            <wp:positionH relativeFrom="margin">
              <wp:align>center</wp:align>
            </wp:positionH>
            <wp:positionV relativeFrom="paragraph">
              <wp:posOffset>-753745</wp:posOffset>
            </wp:positionV>
            <wp:extent cx="6858000" cy="1709420"/>
            <wp:effectExtent l="0" t="0" r="0" b="5080"/>
            <wp:wrapNone/>
            <wp:docPr id="3" name="Picture 3" descr="Wealt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alth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709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809297" w14:textId="070A6A48" w:rsidR="00184CFE" w:rsidRDefault="00184CFE" w:rsidP="00182927">
      <w:pPr>
        <w:spacing w:line="240" w:lineRule="auto"/>
        <w:ind w:right="-360"/>
        <w:jc w:val="both"/>
        <w:rPr>
          <w:rFonts w:ascii="Cambria" w:eastAsia="Times New Roman" w:hAnsi="Cambria" w:cs="Times New Roman"/>
          <w:sz w:val="21"/>
          <w:szCs w:val="21"/>
          <w:highlight w:val="yellow"/>
        </w:rPr>
      </w:pPr>
    </w:p>
    <w:p w14:paraId="1D426382" w14:textId="77777777" w:rsidR="000F4642" w:rsidRDefault="000F4642" w:rsidP="00182927">
      <w:pPr>
        <w:spacing w:line="240" w:lineRule="auto"/>
        <w:ind w:right="-360"/>
        <w:jc w:val="both"/>
        <w:rPr>
          <w:rFonts w:ascii="Cambria Math" w:hAnsi="Cambria Math"/>
          <w:b/>
          <w:bCs/>
          <w:sz w:val="36"/>
          <w:szCs w:val="36"/>
        </w:rPr>
      </w:pPr>
    </w:p>
    <w:p w14:paraId="16F024CE" w14:textId="77777777" w:rsidR="000F4642" w:rsidRDefault="000F4642" w:rsidP="00182927">
      <w:pPr>
        <w:spacing w:line="240" w:lineRule="auto"/>
        <w:ind w:right="-360"/>
        <w:jc w:val="both"/>
        <w:rPr>
          <w:rFonts w:ascii="Cambria Math" w:hAnsi="Cambria Math"/>
          <w:b/>
          <w:bCs/>
          <w:sz w:val="36"/>
          <w:szCs w:val="36"/>
        </w:rPr>
      </w:pPr>
    </w:p>
    <w:p w14:paraId="00EE4639" w14:textId="729CED61" w:rsidR="00ED73A8" w:rsidRPr="00ED73A8" w:rsidRDefault="000F4642" w:rsidP="000F4642">
      <w:pPr>
        <w:spacing w:line="240" w:lineRule="auto"/>
        <w:ind w:right="-360"/>
        <w:jc w:val="center"/>
        <w:rPr>
          <w:rFonts w:ascii="Cambria" w:eastAsia="Times New Roman" w:hAnsi="Cambria" w:cs="Times New Roman"/>
          <w:sz w:val="21"/>
          <w:szCs w:val="21"/>
          <w:highlight w:val="yellow"/>
        </w:rPr>
      </w:pPr>
      <w:r w:rsidRPr="00ED73A8">
        <w:rPr>
          <w:rFonts w:ascii="Cambria Math" w:hAnsi="Cambria Math"/>
          <w:b/>
          <w:bCs/>
          <w:sz w:val="36"/>
          <w:szCs w:val="36"/>
        </w:rPr>
        <w:t>Quarterly Economic Update</w:t>
      </w:r>
      <w:r>
        <w:rPr>
          <w:rFonts w:ascii="Cambria Math" w:hAnsi="Cambria Math"/>
          <w:b/>
          <w:bCs/>
          <w:sz w:val="36"/>
          <w:szCs w:val="36"/>
        </w:rPr>
        <w:t xml:space="preserve"> </w:t>
      </w:r>
      <w:r w:rsidRPr="00ED73A8">
        <w:rPr>
          <w:rFonts w:ascii="Cambria Math" w:hAnsi="Cambria Math"/>
          <w:b/>
          <w:bCs/>
          <w:sz w:val="36"/>
          <w:szCs w:val="36"/>
        </w:rPr>
        <w:t>Third Quarter 2024</w:t>
      </w:r>
    </w:p>
    <w:p w14:paraId="7245C2BB" w14:textId="629767CD" w:rsidR="000044FA" w:rsidRPr="00ED73A8" w:rsidRDefault="00FC6A1E" w:rsidP="000044FA">
      <w:pPr>
        <w:pBdr>
          <w:bottom w:val="single" w:sz="24" w:space="1" w:color="767171" w:themeColor="background2" w:themeShade="80"/>
        </w:pBdr>
        <w:spacing w:line="240" w:lineRule="auto"/>
        <w:jc w:val="both"/>
        <w:rPr>
          <w:rFonts w:ascii="Cambria" w:hAnsi="Cambria" w:cs="Times New Roman"/>
          <w:b/>
          <w:sz w:val="21"/>
          <w:szCs w:val="21"/>
          <w:highlight w:val="yellow"/>
        </w:rPr>
      </w:pPr>
      <w:r w:rsidRPr="00ED73A8">
        <w:rPr>
          <w:noProof/>
          <w:color w:val="7030A0"/>
          <w:sz w:val="21"/>
          <w:szCs w:val="21"/>
        </w:rPr>
        <w:drawing>
          <wp:anchor distT="0" distB="182880" distL="114300" distR="114300" simplePos="0" relativeHeight="251981824" behindDoc="0" locked="0" layoutInCell="1" allowOverlap="1" wp14:anchorId="589D0F2F" wp14:editId="730EBFAA">
            <wp:simplePos x="0" y="0"/>
            <wp:positionH relativeFrom="margin">
              <wp:posOffset>3190778</wp:posOffset>
            </wp:positionH>
            <wp:positionV relativeFrom="paragraph">
              <wp:posOffset>365614</wp:posOffset>
            </wp:positionV>
            <wp:extent cx="3264408" cy="4535424"/>
            <wp:effectExtent l="19050" t="19050" r="12700" b="17780"/>
            <wp:wrapSquare wrapText="bothSides"/>
            <wp:docPr id="115792031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20316" name="Picture 1" descr="A screenshot of a grap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64408" cy="4535424"/>
                    </a:xfrm>
                    <a:prstGeom prst="rect">
                      <a:avLst/>
                    </a:prstGeom>
                    <a:ln>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794C76D7" w14:textId="1B4A9DE0" w:rsidR="000044FA" w:rsidRPr="00ED73A8" w:rsidRDefault="000044FA" w:rsidP="000C09AD">
      <w:pPr>
        <w:spacing w:line="240" w:lineRule="auto"/>
        <w:jc w:val="both"/>
        <w:rPr>
          <w:rFonts w:cstheme="minorHAnsi"/>
          <w:b/>
          <w:bCs/>
          <w:sz w:val="21"/>
          <w:szCs w:val="21"/>
        </w:rPr>
        <w:sectPr w:rsidR="000044FA" w:rsidRPr="00ED73A8" w:rsidSect="00ED73A8">
          <w:pgSz w:w="12240" w:h="15840"/>
          <w:pgMar w:top="1170" w:right="1080" w:bottom="1440" w:left="1080" w:header="720" w:footer="246" w:gutter="0"/>
          <w:cols w:space="720"/>
        </w:sectPr>
      </w:pPr>
    </w:p>
    <w:p w14:paraId="1C428BF5" w14:textId="552020B2" w:rsidR="00EF7770" w:rsidRPr="00847DE2" w:rsidRDefault="00EF7770" w:rsidP="00632A6E">
      <w:pPr>
        <w:pStyle w:val="NormalWeb"/>
        <w:spacing w:before="0" w:beforeAutospacing="0" w:after="0" w:afterAutospacing="0"/>
        <w:jc w:val="both"/>
        <w:textAlignment w:val="baseline"/>
        <w:rPr>
          <w:rFonts w:eastAsiaTheme="minorHAnsi"/>
          <w:sz w:val="4"/>
          <w:szCs w:val="4"/>
        </w:rPr>
      </w:pPr>
      <w:bookmarkStart w:id="2" w:name="_Hlk107838273"/>
    </w:p>
    <w:p w14:paraId="6F977966" w14:textId="2A8C4748" w:rsidR="00051D41" w:rsidRPr="00ED73A8" w:rsidRDefault="00773871" w:rsidP="00B524BA">
      <w:pPr>
        <w:pStyle w:val="NormalWeb"/>
        <w:spacing w:before="0" w:beforeAutospacing="0" w:after="0" w:afterAutospacing="0"/>
        <w:jc w:val="both"/>
        <w:textAlignment w:val="baseline"/>
        <w:rPr>
          <w:rFonts w:eastAsiaTheme="minorHAnsi"/>
          <w:i/>
          <w:iCs/>
          <w:sz w:val="21"/>
          <w:szCs w:val="21"/>
        </w:rPr>
      </w:pPr>
      <w:r w:rsidRPr="00ED73A8">
        <w:rPr>
          <w:rFonts w:eastAsiaTheme="minorHAnsi"/>
          <w:sz w:val="21"/>
          <w:szCs w:val="21"/>
        </w:rPr>
        <w:t>If you heard that the war in Ukraine would continue, unrest would heighten in the Middle East, a former President would be shot during a contentious Presidential election season</w:t>
      </w:r>
      <w:r w:rsidR="00B16ED5" w:rsidRPr="00ED73A8">
        <w:rPr>
          <w:rFonts w:eastAsiaTheme="minorHAnsi"/>
          <w:sz w:val="21"/>
          <w:szCs w:val="21"/>
        </w:rPr>
        <w:t>,</w:t>
      </w:r>
      <w:r w:rsidRPr="00ED73A8">
        <w:rPr>
          <w:rFonts w:eastAsiaTheme="minorHAnsi"/>
          <w:sz w:val="21"/>
          <w:szCs w:val="21"/>
        </w:rPr>
        <w:t xml:space="preserve"> and the Federal deficit would reach an all-time high, you might think that the equity market would struggle. Fortunately</w:t>
      </w:r>
      <w:r w:rsidR="00B16ED5" w:rsidRPr="00ED73A8">
        <w:rPr>
          <w:rFonts w:eastAsiaTheme="minorHAnsi"/>
          <w:sz w:val="21"/>
          <w:szCs w:val="21"/>
        </w:rPr>
        <w:t>,</w:t>
      </w:r>
      <w:r w:rsidRPr="00ED73A8">
        <w:rPr>
          <w:rFonts w:eastAsiaTheme="minorHAnsi"/>
          <w:sz w:val="21"/>
          <w:szCs w:val="21"/>
        </w:rPr>
        <w:t xml:space="preserve"> for long</w:t>
      </w:r>
      <w:r w:rsidR="00165F7A" w:rsidRPr="00ED73A8">
        <w:rPr>
          <w:rFonts w:eastAsiaTheme="minorHAnsi"/>
          <w:sz w:val="21"/>
          <w:szCs w:val="21"/>
        </w:rPr>
        <w:t>-</w:t>
      </w:r>
      <w:r w:rsidRPr="00ED73A8">
        <w:rPr>
          <w:rFonts w:eastAsiaTheme="minorHAnsi"/>
          <w:sz w:val="21"/>
          <w:szCs w:val="21"/>
        </w:rPr>
        <w:t>term investors, t</w:t>
      </w:r>
      <w:r w:rsidR="00051D41" w:rsidRPr="00ED73A8">
        <w:rPr>
          <w:rFonts w:eastAsiaTheme="minorHAnsi"/>
          <w:sz w:val="21"/>
          <w:szCs w:val="21"/>
        </w:rPr>
        <w:t>he first three quarters of 2024 have been recorded as the best first three quarters of any year in the 21</w:t>
      </w:r>
      <w:r w:rsidR="00051D41" w:rsidRPr="00ED73A8">
        <w:rPr>
          <w:rFonts w:eastAsiaTheme="minorHAnsi"/>
          <w:sz w:val="21"/>
          <w:szCs w:val="21"/>
          <w:vertAlign w:val="superscript"/>
        </w:rPr>
        <w:t>st</w:t>
      </w:r>
      <w:r w:rsidR="00051D41" w:rsidRPr="00ED73A8">
        <w:rPr>
          <w:rFonts w:eastAsiaTheme="minorHAnsi"/>
          <w:sz w:val="21"/>
          <w:szCs w:val="21"/>
        </w:rPr>
        <w:t xml:space="preserve"> century. </w:t>
      </w:r>
      <w:r w:rsidR="006E7986" w:rsidRPr="00ED73A8">
        <w:rPr>
          <w:rFonts w:eastAsiaTheme="minorHAnsi"/>
          <w:sz w:val="21"/>
          <w:szCs w:val="21"/>
        </w:rPr>
        <w:t xml:space="preserve">While the </w:t>
      </w:r>
      <w:r w:rsidR="00090273" w:rsidRPr="00ED73A8">
        <w:rPr>
          <w:rFonts w:eastAsiaTheme="minorHAnsi"/>
          <w:sz w:val="21"/>
          <w:szCs w:val="21"/>
        </w:rPr>
        <w:t xml:space="preserve">third </w:t>
      </w:r>
      <w:r w:rsidR="006E7986" w:rsidRPr="00ED73A8">
        <w:rPr>
          <w:rFonts w:eastAsiaTheme="minorHAnsi"/>
          <w:sz w:val="21"/>
          <w:szCs w:val="21"/>
        </w:rPr>
        <w:t>quarter had its ups and downs,</w:t>
      </w:r>
      <w:r w:rsidR="00817212" w:rsidRPr="00ED73A8">
        <w:rPr>
          <w:rFonts w:eastAsiaTheme="minorHAnsi"/>
          <w:i/>
          <w:iCs/>
          <w:sz w:val="21"/>
          <w:szCs w:val="21"/>
        </w:rPr>
        <w:t xml:space="preserve"> </w:t>
      </w:r>
      <w:r w:rsidR="00090273" w:rsidRPr="00ED73A8">
        <w:rPr>
          <w:rFonts w:eastAsiaTheme="minorHAnsi"/>
          <w:sz w:val="21"/>
          <w:szCs w:val="21"/>
        </w:rPr>
        <w:t>t</w:t>
      </w:r>
      <w:r w:rsidR="00051D41" w:rsidRPr="00ED73A8">
        <w:rPr>
          <w:rFonts w:eastAsiaTheme="minorHAnsi"/>
          <w:sz w:val="21"/>
          <w:szCs w:val="21"/>
        </w:rPr>
        <w:t xml:space="preserve">he S&amp;P 500 rose 5.5% and </w:t>
      </w:r>
      <w:r w:rsidR="00090273" w:rsidRPr="00ED73A8">
        <w:rPr>
          <w:rFonts w:eastAsiaTheme="minorHAnsi"/>
          <w:sz w:val="21"/>
          <w:szCs w:val="21"/>
        </w:rPr>
        <w:t>closed the quarter</w:t>
      </w:r>
      <w:r w:rsidR="00051D41" w:rsidRPr="00ED73A8">
        <w:rPr>
          <w:rFonts w:eastAsiaTheme="minorHAnsi"/>
          <w:sz w:val="21"/>
          <w:szCs w:val="21"/>
        </w:rPr>
        <w:t xml:space="preserve"> at an all-time high</w:t>
      </w:r>
      <w:r w:rsidR="00613E18" w:rsidRPr="00ED73A8">
        <w:rPr>
          <w:rFonts w:eastAsiaTheme="minorHAnsi"/>
          <w:sz w:val="21"/>
          <w:szCs w:val="21"/>
        </w:rPr>
        <w:t xml:space="preserve"> of 5,762. This brought the S&amp;P 500’s </w:t>
      </w:r>
      <w:r w:rsidR="00051D41" w:rsidRPr="00ED73A8">
        <w:rPr>
          <w:rFonts w:eastAsiaTheme="minorHAnsi"/>
          <w:sz w:val="21"/>
          <w:szCs w:val="21"/>
        </w:rPr>
        <w:t xml:space="preserve">year-to-date gain to nearly 21%. </w:t>
      </w:r>
      <w:r w:rsidR="00817212" w:rsidRPr="00ED73A8">
        <w:rPr>
          <w:rFonts w:eastAsiaTheme="minorHAnsi"/>
          <w:sz w:val="21"/>
          <w:szCs w:val="21"/>
        </w:rPr>
        <w:t xml:space="preserve">The Dow Jones Industrial Average (DJIA) </w:t>
      </w:r>
      <w:r w:rsidR="00165F7A" w:rsidRPr="00ED73A8">
        <w:rPr>
          <w:rFonts w:eastAsiaTheme="minorHAnsi"/>
          <w:sz w:val="21"/>
          <w:szCs w:val="21"/>
        </w:rPr>
        <w:t xml:space="preserve">also </w:t>
      </w:r>
      <w:r w:rsidR="00817212" w:rsidRPr="00ED73A8">
        <w:rPr>
          <w:rFonts w:eastAsiaTheme="minorHAnsi"/>
          <w:sz w:val="21"/>
          <w:szCs w:val="21"/>
        </w:rPr>
        <w:t>had a record performance, rising 8.2% for the quarter</w:t>
      </w:r>
      <w:r w:rsidR="00613E18" w:rsidRPr="00ED73A8">
        <w:rPr>
          <w:rFonts w:eastAsiaTheme="minorHAnsi"/>
          <w:sz w:val="21"/>
          <w:szCs w:val="21"/>
        </w:rPr>
        <w:t xml:space="preserve">, ending at 42,330. This brought </w:t>
      </w:r>
      <w:r w:rsidR="00090273" w:rsidRPr="00ED73A8">
        <w:rPr>
          <w:rFonts w:eastAsiaTheme="minorHAnsi"/>
          <w:sz w:val="21"/>
          <w:szCs w:val="21"/>
        </w:rPr>
        <w:t>the DJIA’s</w:t>
      </w:r>
      <w:r w:rsidR="00613E18" w:rsidRPr="00ED73A8">
        <w:rPr>
          <w:rFonts w:eastAsiaTheme="minorHAnsi"/>
          <w:sz w:val="21"/>
          <w:szCs w:val="21"/>
        </w:rPr>
        <w:t xml:space="preserve"> year-to-date gain to over 12%. </w:t>
      </w:r>
      <w:r w:rsidR="009C4E53" w:rsidRPr="00ED73A8">
        <w:rPr>
          <w:rFonts w:eastAsiaTheme="minorHAnsi"/>
          <w:i/>
          <w:iCs/>
          <w:sz w:val="18"/>
          <w:szCs w:val="18"/>
        </w:rPr>
        <w:t>(barrons.com/market-data)</w:t>
      </w:r>
    </w:p>
    <w:p w14:paraId="73D26803" w14:textId="77777777" w:rsidR="00AD0508" w:rsidRPr="00ED73A8" w:rsidRDefault="00AD0508" w:rsidP="00132B5D">
      <w:pPr>
        <w:pStyle w:val="NormalWeb"/>
        <w:spacing w:before="0" w:beforeAutospacing="0" w:after="0" w:afterAutospacing="0"/>
        <w:jc w:val="both"/>
        <w:textAlignment w:val="baseline"/>
        <w:rPr>
          <w:rFonts w:eastAsiaTheme="minorHAnsi"/>
          <w:i/>
          <w:iCs/>
          <w:sz w:val="21"/>
          <w:szCs w:val="21"/>
        </w:rPr>
      </w:pPr>
    </w:p>
    <w:p w14:paraId="5A7A2AA8" w14:textId="1922A081" w:rsidR="002470AB" w:rsidRPr="00ED73A8" w:rsidRDefault="00AD0508" w:rsidP="00B524BA">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T</w:t>
      </w:r>
      <w:r w:rsidR="002470AB" w:rsidRPr="00ED73A8">
        <w:rPr>
          <w:rFonts w:eastAsiaTheme="minorHAnsi"/>
          <w:sz w:val="21"/>
          <w:szCs w:val="21"/>
        </w:rPr>
        <w:t xml:space="preserve">he third quarter was not a smooth ride by any means. As you can see from the charts, investors had a </w:t>
      </w:r>
      <w:r w:rsidR="00090273" w:rsidRPr="00ED73A8">
        <w:rPr>
          <w:rFonts w:eastAsiaTheme="minorHAnsi"/>
          <w:sz w:val="21"/>
          <w:szCs w:val="21"/>
        </w:rPr>
        <w:t>roller coaster</w:t>
      </w:r>
      <w:r w:rsidR="002470AB" w:rsidRPr="00ED73A8">
        <w:rPr>
          <w:rFonts w:eastAsiaTheme="minorHAnsi"/>
          <w:sz w:val="21"/>
          <w:szCs w:val="21"/>
        </w:rPr>
        <w:t xml:space="preserve"> ride, and volatility </w:t>
      </w:r>
      <w:r w:rsidR="00090273" w:rsidRPr="00ED73A8">
        <w:rPr>
          <w:rFonts w:eastAsiaTheme="minorHAnsi"/>
          <w:sz w:val="21"/>
          <w:szCs w:val="21"/>
        </w:rPr>
        <w:t>remained</w:t>
      </w:r>
      <w:r w:rsidR="002470AB" w:rsidRPr="00ED73A8">
        <w:rPr>
          <w:rFonts w:eastAsiaTheme="minorHAnsi"/>
          <w:sz w:val="21"/>
          <w:szCs w:val="21"/>
        </w:rPr>
        <w:t xml:space="preserve"> a main characteristic of an investor’s journey. </w:t>
      </w:r>
      <w:r w:rsidR="00DE61A1" w:rsidRPr="00ED73A8">
        <w:rPr>
          <w:rFonts w:eastAsiaTheme="minorHAnsi"/>
          <w:sz w:val="21"/>
          <w:szCs w:val="21"/>
        </w:rPr>
        <w:t>August was the S&amp;P 500</w:t>
      </w:r>
      <w:r w:rsidR="00090273" w:rsidRPr="00ED73A8">
        <w:rPr>
          <w:rFonts w:eastAsiaTheme="minorHAnsi"/>
          <w:sz w:val="21"/>
          <w:szCs w:val="21"/>
        </w:rPr>
        <w:t>’</w:t>
      </w:r>
      <w:r w:rsidR="00DE61A1" w:rsidRPr="00ED73A8">
        <w:rPr>
          <w:rFonts w:eastAsiaTheme="minorHAnsi"/>
          <w:sz w:val="21"/>
          <w:szCs w:val="21"/>
        </w:rPr>
        <w:t>s most volatile month in nearly two years after</w:t>
      </w:r>
      <w:r w:rsidRPr="00ED73A8">
        <w:rPr>
          <w:rFonts w:eastAsiaTheme="minorHAnsi"/>
          <w:sz w:val="21"/>
          <w:szCs w:val="21"/>
        </w:rPr>
        <w:t xml:space="preserve"> </w:t>
      </w:r>
      <w:r w:rsidR="00090273" w:rsidRPr="00ED73A8">
        <w:rPr>
          <w:rFonts w:eastAsiaTheme="minorHAnsi"/>
          <w:sz w:val="21"/>
          <w:szCs w:val="21"/>
        </w:rPr>
        <w:t>several</w:t>
      </w:r>
      <w:r w:rsidRPr="00ED73A8">
        <w:rPr>
          <w:rFonts w:eastAsiaTheme="minorHAnsi"/>
          <w:sz w:val="21"/>
          <w:szCs w:val="21"/>
        </w:rPr>
        <w:t xml:space="preserve"> factors, including </w:t>
      </w:r>
      <w:r w:rsidR="00090273" w:rsidRPr="00ED73A8">
        <w:rPr>
          <w:rFonts w:eastAsiaTheme="minorHAnsi"/>
          <w:sz w:val="21"/>
          <w:szCs w:val="21"/>
        </w:rPr>
        <w:t>weaker-than-expected jobs data for July,</w:t>
      </w:r>
      <w:r w:rsidRPr="00ED73A8">
        <w:rPr>
          <w:rFonts w:eastAsiaTheme="minorHAnsi"/>
          <w:sz w:val="21"/>
          <w:szCs w:val="21"/>
        </w:rPr>
        <w:t xml:space="preserve"> </w:t>
      </w:r>
      <w:r w:rsidR="00090273" w:rsidRPr="00ED73A8">
        <w:rPr>
          <w:rFonts w:eastAsiaTheme="minorHAnsi"/>
          <w:sz w:val="21"/>
          <w:szCs w:val="21"/>
        </w:rPr>
        <w:t xml:space="preserve">thus </w:t>
      </w:r>
      <w:r w:rsidRPr="00ED73A8">
        <w:rPr>
          <w:rFonts w:eastAsiaTheme="minorHAnsi"/>
          <w:sz w:val="21"/>
          <w:szCs w:val="21"/>
        </w:rPr>
        <w:t>increas</w:t>
      </w:r>
      <w:r w:rsidR="00090273" w:rsidRPr="00ED73A8">
        <w:rPr>
          <w:rFonts w:eastAsiaTheme="minorHAnsi"/>
          <w:sz w:val="21"/>
          <w:szCs w:val="21"/>
        </w:rPr>
        <w:t>ing</w:t>
      </w:r>
      <w:r w:rsidRPr="00ED73A8">
        <w:rPr>
          <w:rFonts w:eastAsiaTheme="minorHAnsi"/>
          <w:sz w:val="21"/>
          <w:szCs w:val="21"/>
        </w:rPr>
        <w:t xml:space="preserve"> recession concerns. </w:t>
      </w:r>
      <w:r w:rsidR="00DE61A1" w:rsidRPr="00ED73A8">
        <w:rPr>
          <w:rFonts w:eastAsiaTheme="minorHAnsi"/>
          <w:sz w:val="21"/>
          <w:szCs w:val="21"/>
        </w:rPr>
        <w:t xml:space="preserve"> </w:t>
      </w:r>
      <w:r w:rsidRPr="00ED73A8">
        <w:rPr>
          <w:rFonts w:eastAsiaTheme="minorHAnsi"/>
          <w:sz w:val="21"/>
          <w:szCs w:val="21"/>
        </w:rPr>
        <w:t>However, equities regained most of their losses by the end of the month</w:t>
      </w:r>
      <w:r w:rsidR="00090273" w:rsidRPr="00ED73A8">
        <w:rPr>
          <w:rFonts w:eastAsiaTheme="minorHAnsi"/>
          <w:sz w:val="21"/>
          <w:szCs w:val="21"/>
        </w:rPr>
        <w:t xml:space="preserve"> and, after taking another dip in early September, were</w:t>
      </w:r>
      <w:r w:rsidRPr="00ED73A8">
        <w:rPr>
          <w:rFonts w:eastAsiaTheme="minorHAnsi"/>
          <w:sz w:val="21"/>
          <w:szCs w:val="21"/>
        </w:rPr>
        <w:t xml:space="preserve"> once again in record-breaking territory</w:t>
      </w:r>
      <w:r w:rsidR="00090273" w:rsidRPr="00ED73A8">
        <w:rPr>
          <w:rFonts w:eastAsiaTheme="minorHAnsi"/>
          <w:sz w:val="21"/>
          <w:szCs w:val="21"/>
        </w:rPr>
        <w:t xml:space="preserve"> by the end of the quarter</w:t>
      </w:r>
      <w:r w:rsidRPr="00ED73A8">
        <w:rPr>
          <w:rFonts w:eastAsiaTheme="minorHAnsi"/>
          <w:sz w:val="21"/>
          <w:szCs w:val="21"/>
        </w:rPr>
        <w:t>.</w:t>
      </w:r>
    </w:p>
    <w:p w14:paraId="1C46DEAB" w14:textId="524E1A87" w:rsidR="009C4E53" w:rsidRPr="00ED73A8" w:rsidRDefault="009C4E53" w:rsidP="00132B5D">
      <w:pPr>
        <w:pStyle w:val="NormalWeb"/>
        <w:spacing w:before="0" w:beforeAutospacing="0" w:after="0" w:afterAutospacing="0"/>
        <w:jc w:val="both"/>
        <w:textAlignment w:val="baseline"/>
        <w:rPr>
          <w:rFonts w:eastAsiaTheme="minorHAnsi"/>
          <w:sz w:val="21"/>
          <w:szCs w:val="21"/>
        </w:rPr>
      </w:pPr>
    </w:p>
    <w:p w14:paraId="5853A341" w14:textId="0D862832" w:rsidR="00615780" w:rsidRPr="00ED73A8" w:rsidRDefault="00ED73A8" w:rsidP="00615780">
      <w:pPr>
        <w:pStyle w:val="NormalWeb"/>
        <w:spacing w:before="0" w:beforeAutospacing="0" w:after="0" w:afterAutospacing="0"/>
        <w:jc w:val="both"/>
        <w:textAlignment w:val="baseline"/>
        <w:rPr>
          <w:rFonts w:eastAsiaTheme="minorEastAsia"/>
          <w:sz w:val="21"/>
          <w:szCs w:val="21"/>
        </w:rPr>
      </w:pPr>
      <w:r w:rsidRPr="00ED73A8">
        <w:rPr>
          <w:rFonts w:eastAsiaTheme="minorHAnsi"/>
          <w:noProof/>
          <w:sz w:val="21"/>
          <w:szCs w:val="21"/>
        </w:rPr>
        <w:drawing>
          <wp:anchor distT="0" distB="0" distL="114300" distR="114300" simplePos="0" relativeHeight="251982848" behindDoc="0" locked="0" layoutInCell="1" allowOverlap="1" wp14:anchorId="2AA6B9D1" wp14:editId="2AC0460B">
            <wp:simplePos x="0" y="0"/>
            <wp:positionH relativeFrom="margin">
              <wp:posOffset>3183548</wp:posOffset>
            </wp:positionH>
            <wp:positionV relativeFrom="paragraph">
              <wp:posOffset>281891</wp:posOffset>
            </wp:positionV>
            <wp:extent cx="3329940" cy="1538605"/>
            <wp:effectExtent l="0" t="0" r="3810" b="4445"/>
            <wp:wrapSquare wrapText="bothSides"/>
            <wp:docPr id="1101453813" name="Picture 1" descr="A blue and white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3813" name="Picture 1" descr="A blue and white chart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9940" cy="1538605"/>
                    </a:xfrm>
                    <a:prstGeom prst="rect">
                      <a:avLst/>
                    </a:prstGeom>
                  </pic:spPr>
                </pic:pic>
              </a:graphicData>
            </a:graphic>
            <wp14:sizeRelH relativeFrom="page">
              <wp14:pctWidth>0</wp14:pctWidth>
            </wp14:sizeRelH>
            <wp14:sizeRelV relativeFrom="page">
              <wp14:pctHeight>0</wp14:pctHeight>
            </wp14:sizeRelV>
          </wp:anchor>
        </w:drawing>
      </w:r>
      <w:r w:rsidR="00E86C78" w:rsidRPr="00ED73A8">
        <w:rPr>
          <w:rFonts w:eastAsiaTheme="minorHAnsi"/>
          <w:sz w:val="21"/>
          <w:szCs w:val="21"/>
        </w:rPr>
        <w:t>Inflation seem</w:t>
      </w:r>
      <w:r w:rsidR="00773871" w:rsidRPr="00ED73A8">
        <w:rPr>
          <w:rFonts w:eastAsiaTheme="minorHAnsi"/>
          <w:sz w:val="21"/>
          <w:szCs w:val="21"/>
        </w:rPr>
        <w:t>s</w:t>
      </w:r>
      <w:r w:rsidR="00E86C78" w:rsidRPr="00ED73A8">
        <w:rPr>
          <w:rFonts w:eastAsiaTheme="minorHAnsi"/>
          <w:sz w:val="21"/>
          <w:szCs w:val="21"/>
        </w:rPr>
        <w:t xml:space="preserve"> to be</w:t>
      </w:r>
      <w:r w:rsidR="00773871" w:rsidRPr="00ED73A8">
        <w:rPr>
          <w:rFonts w:eastAsiaTheme="minorHAnsi"/>
          <w:sz w:val="21"/>
          <w:szCs w:val="21"/>
        </w:rPr>
        <w:t xml:space="preserve"> reduced to a reasonable rate</w:t>
      </w:r>
      <w:r w:rsidR="00E86C78" w:rsidRPr="00ED73A8">
        <w:rPr>
          <w:rFonts w:eastAsiaTheme="minorHAnsi"/>
          <w:sz w:val="21"/>
          <w:szCs w:val="21"/>
        </w:rPr>
        <w:t xml:space="preserve"> after steamrolling the economy. </w:t>
      </w:r>
      <w:r w:rsidR="00615780" w:rsidRPr="00ED73A8">
        <w:rPr>
          <w:rFonts w:eastAsiaTheme="minorHAnsi"/>
          <w:sz w:val="21"/>
          <w:szCs w:val="21"/>
        </w:rPr>
        <w:t xml:space="preserve">In August, inflation slowed for the fifth consecutive month and continued to inch toward the Fed’s 2% goal. The Fed closely monitors the Consumer Price Index (CPI), which is a broad measure of goods and services costs, as one of the indicators for interest rate adjustments. </w:t>
      </w:r>
      <w:r w:rsidR="00615780" w:rsidRPr="00ED73A8">
        <w:rPr>
          <w:rFonts w:eastAsiaTheme="minorEastAsia"/>
          <w:sz w:val="21"/>
          <w:szCs w:val="21"/>
        </w:rPr>
        <w:t xml:space="preserve">In August, the year-over-year Consumer Price Index (CPI) was 2.5%. This rate is the lowest since February and below the forecast of 2.6%. The continued deceleration of inflation and favorable key economic indicators prompted the Fed to finally enact a much-anticipated interest rate decrease.  In </w:t>
      </w:r>
      <w:r w:rsidR="00FC6A1E" w:rsidRPr="00ED73A8">
        <w:rPr>
          <w:rFonts w:cstheme="minorHAnsi"/>
          <w:noProof/>
          <w:sz w:val="21"/>
          <w:szCs w:val="21"/>
        </w:rPr>
        <w:lastRenderedPageBreak/>
        <mc:AlternateContent>
          <mc:Choice Requires="wps">
            <w:drawing>
              <wp:anchor distT="0" distB="91440" distL="114300" distR="114300" simplePos="0" relativeHeight="251986944" behindDoc="0" locked="0" layoutInCell="1" allowOverlap="1" wp14:anchorId="44F287D1" wp14:editId="377F8A36">
                <wp:simplePos x="0" y="0"/>
                <wp:positionH relativeFrom="page">
                  <wp:posOffset>4001770</wp:posOffset>
                </wp:positionH>
                <wp:positionV relativeFrom="paragraph">
                  <wp:posOffset>22225</wp:posOffset>
                </wp:positionV>
                <wp:extent cx="3154680" cy="5129530"/>
                <wp:effectExtent l="0" t="0" r="2667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129530"/>
                        </a:xfrm>
                        <a:prstGeom prst="rect">
                          <a:avLst/>
                        </a:prstGeom>
                        <a:noFill/>
                        <a:ln w="19050">
                          <a:solidFill>
                            <a:schemeClr val="accent5">
                              <a:lumMod val="75000"/>
                            </a:schemeClr>
                          </a:solidFill>
                          <a:miter lim="800000"/>
                          <a:headEnd/>
                          <a:tailEnd/>
                        </a:ln>
                      </wps:spPr>
                      <wps:txbx>
                        <w:txbxContent>
                          <w:p w14:paraId="290943F9" w14:textId="77777777" w:rsidR="003642E8" w:rsidRPr="00A71827" w:rsidRDefault="003642E8" w:rsidP="00B524BA">
                            <w:pPr>
                              <w:jc w:val="center"/>
                              <w:rPr>
                                <w:rFonts w:ascii="Franklin Gothic Demi Cond" w:hAnsi="Franklin Gothic Demi Cond"/>
                                <w:b/>
                                <w:bCs/>
                                <w:color w:val="0F2593"/>
                                <w:sz w:val="72"/>
                                <w:szCs w:val="72"/>
                              </w:rPr>
                            </w:pPr>
                            <w:r w:rsidRPr="00A71827">
                              <w:rPr>
                                <w:b/>
                                <w:bCs/>
                                <w:color w:val="0033CC"/>
                                <w:sz w:val="6"/>
                                <w:szCs w:val="6"/>
                              </w:rPr>
                              <w:br/>
                            </w:r>
                            <w:r w:rsidRPr="00A71827">
                              <w:rPr>
                                <w:b/>
                                <w:bCs/>
                                <w:color w:val="0033CC"/>
                                <w:sz w:val="6"/>
                                <w:szCs w:val="6"/>
                              </w:rPr>
                              <w:br/>
                            </w:r>
                            <w:r w:rsidRPr="00407DEC">
                              <w:rPr>
                                <w:noProof/>
                                <w:sz w:val="18"/>
                                <w:szCs w:val="18"/>
                              </w:rPr>
                              <w:drawing>
                                <wp:inline distT="0" distB="0" distL="0" distR="0" wp14:anchorId="54519A9F" wp14:editId="21707432">
                                  <wp:extent cx="2664069" cy="694055"/>
                                  <wp:effectExtent l="0" t="0" r="3175" b="0"/>
                                  <wp:docPr id="60830298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44727" name="Picture 1" descr="A blue sign with white text&#10;&#10;Description automatically generated"/>
                                          <pic:cNvPicPr/>
                                        </pic:nvPicPr>
                                        <pic:blipFill>
                                          <a:blip r:embed="rId11"/>
                                          <a:stretch>
                                            <a:fillRect/>
                                          </a:stretch>
                                        </pic:blipFill>
                                        <pic:spPr>
                                          <a:xfrm>
                                            <a:off x="0" y="0"/>
                                            <a:ext cx="2758572" cy="718675"/>
                                          </a:xfrm>
                                          <a:prstGeom prst="rect">
                                            <a:avLst/>
                                          </a:prstGeom>
                                        </pic:spPr>
                                      </pic:pic>
                                    </a:graphicData>
                                  </a:graphic>
                                </wp:inline>
                              </w:drawing>
                            </w:r>
                          </w:p>
                          <w:p w14:paraId="61A8C96C"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Equity markets finished the third quarter of 2024 with strong results.</w:t>
                            </w:r>
                          </w:p>
                          <w:p w14:paraId="23440E27" w14:textId="77777777" w:rsidR="00ED73A8" w:rsidRPr="006C3EFC" w:rsidRDefault="00ED73A8" w:rsidP="00ED73A8">
                            <w:pPr>
                              <w:pStyle w:val="ListParagraph"/>
                              <w:spacing w:after="0" w:line="240" w:lineRule="auto"/>
                              <w:ind w:left="270"/>
                              <w:rPr>
                                <w:rFonts w:cstheme="minorHAnsi"/>
                                <w:color w:val="2E74B5" w:themeColor="accent5" w:themeShade="BF"/>
                                <w:sz w:val="14"/>
                                <w:szCs w:val="14"/>
                              </w:rPr>
                            </w:pPr>
                          </w:p>
                          <w:p w14:paraId="04DFA073"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 xml:space="preserve">The Fed reduced interest rates by 50 basis points to 4.75 – 5.0%. </w:t>
                            </w:r>
                          </w:p>
                          <w:p w14:paraId="121B0AB0" w14:textId="77777777" w:rsidR="00ED73A8" w:rsidRPr="006C3EFC" w:rsidRDefault="00ED73A8" w:rsidP="00ED73A8">
                            <w:pPr>
                              <w:pStyle w:val="ListParagraph"/>
                              <w:spacing w:after="0" w:line="240" w:lineRule="auto"/>
                              <w:ind w:left="270"/>
                              <w:rPr>
                                <w:rFonts w:cstheme="minorHAnsi"/>
                                <w:color w:val="2E74B5" w:themeColor="accent5" w:themeShade="BF"/>
                                <w:sz w:val="16"/>
                                <w:szCs w:val="16"/>
                              </w:rPr>
                            </w:pPr>
                          </w:p>
                          <w:p w14:paraId="3275AA2D"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bookmarkStart w:id="3" w:name="_Hlk179195054"/>
                            <w:r w:rsidRPr="00ED73A8">
                              <w:rPr>
                                <w:rFonts w:cstheme="minorHAnsi"/>
                                <w:color w:val="2E74B5" w:themeColor="accent5" w:themeShade="BF"/>
                              </w:rPr>
                              <w:t>The Fed is anticipating more monetary policy easing, with potentially additional interest rate cuts this year.</w:t>
                            </w:r>
                          </w:p>
                          <w:bookmarkEnd w:id="3"/>
                          <w:p w14:paraId="670E4894" w14:textId="77777777" w:rsidR="00ED73A8" w:rsidRPr="00847DE2" w:rsidRDefault="00ED73A8" w:rsidP="00ED73A8">
                            <w:pPr>
                              <w:pStyle w:val="ListParagraph"/>
                              <w:spacing w:after="0" w:line="240" w:lineRule="auto"/>
                              <w:ind w:left="270"/>
                              <w:rPr>
                                <w:rFonts w:cstheme="minorHAnsi"/>
                                <w:color w:val="2E74B5" w:themeColor="accent5" w:themeShade="BF"/>
                                <w:sz w:val="18"/>
                                <w:szCs w:val="18"/>
                              </w:rPr>
                            </w:pPr>
                          </w:p>
                          <w:p w14:paraId="2A033381"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bookmarkStart w:id="4" w:name="_Hlk179195087"/>
                            <w:r w:rsidRPr="00ED73A8">
                              <w:rPr>
                                <w:rFonts w:cstheme="minorHAnsi"/>
                                <w:color w:val="2E74B5" w:themeColor="accent5" w:themeShade="BF"/>
                              </w:rPr>
                              <w:t>Inflation rates have moved closer to the Fed’s desired 2% goal.</w:t>
                            </w:r>
                          </w:p>
                          <w:bookmarkEnd w:id="4"/>
                          <w:p w14:paraId="57DB9841" w14:textId="77777777" w:rsidR="00ED73A8" w:rsidRPr="006C3EFC" w:rsidRDefault="00ED73A8" w:rsidP="00ED73A8">
                            <w:pPr>
                              <w:spacing w:after="0" w:line="240" w:lineRule="auto"/>
                              <w:rPr>
                                <w:rFonts w:cstheme="minorHAnsi"/>
                                <w:color w:val="2E74B5" w:themeColor="accent5" w:themeShade="BF"/>
                                <w:sz w:val="16"/>
                                <w:szCs w:val="16"/>
                              </w:rPr>
                            </w:pPr>
                          </w:p>
                          <w:p w14:paraId="1E6CDEE4" w14:textId="0F3E75C0" w:rsidR="00ED73A8" w:rsidRPr="00ED73A8" w:rsidRDefault="00847DE2" w:rsidP="00ED73A8">
                            <w:pPr>
                              <w:pStyle w:val="ListParagraph"/>
                              <w:numPr>
                                <w:ilvl w:val="0"/>
                                <w:numId w:val="15"/>
                              </w:numPr>
                              <w:spacing w:after="0" w:line="240" w:lineRule="auto"/>
                              <w:ind w:left="270" w:hanging="270"/>
                              <w:rPr>
                                <w:rFonts w:cstheme="minorHAnsi"/>
                                <w:color w:val="2E74B5" w:themeColor="accent5" w:themeShade="BF"/>
                              </w:rPr>
                            </w:pPr>
                            <w:r>
                              <w:rPr>
                                <w:rFonts w:cstheme="minorHAnsi"/>
                                <w:color w:val="2E74B5" w:themeColor="accent5" w:themeShade="BF"/>
                              </w:rPr>
                              <w:t>T</w:t>
                            </w:r>
                            <w:r w:rsidR="00ED73A8" w:rsidRPr="00ED73A8">
                              <w:rPr>
                                <w:rFonts w:cstheme="minorHAnsi"/>
                                <w:color w:val="2E74B5" w:themeColor="accent5" w:themeShade="BF"/>
                              </w:rPr>
                              <w:t xml:space="preserve">he economy and equity markets remain strong. </w:t>
                            </w:r>
                            <w:r w:rsidR="00ED73A8" w:rsidRPr="00ED73A8">
                              <w:rPr>
                                <w:rFonts w:cstheme="minorHAnsi"/>
                                <w:color w:val="2E74B5" w:themeColor="accent5" w:themeShade="BF"/>
                              </w:rPr>
                              <w:br/>
                            </w:r>
                          </w:p>
                          <w:p w14:paraId="51AF8C2C"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Historically, the fourth quarter of the year is a strong one for equities.</w:t>
                            </w:r>
                          </w:p>
                          <w:p w14:paraId="56A1486D" w14:textId="77777777" w:rsidR="00ED73A8" w:rsidRPr="00847DE2" w:rsidRDefault="00ED73A8" w:rsidP="00ED73A8">
                            <w:pPr>
                              <w:spacing w:after="0" w:line="240" w:lineRule="auto"/>
                              <w:rPr>
                                <w:rFonts w:cstheme="minorHAnsi"/>
                                <w:color w:val="2E74B5" w:themeColor="accent5" w:themeShade="BF"/>
                                <w:sz w:val="18"/>
                                <w:szCs w:val="18"/>
                              </w:rPr>
                            </w:pPr>
                          </w:p>
                          <w:p w14:paraId="046472A4"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Staying the course and maintaining the consistency of a well-devised, long-term focused plan has historically served investors well.</w:t>
                            </w:r>
                          </w:p>
                          <w:p w14:paraId="1C8EA66B" w14:textId="77777777" w:rsidR="00ED73A8" w:rsidRPr="006C3EFC" w:rsidRDefault="00ED73A8" w:rsidP="00ED73A8">
                            <w:pPr>
                              <w:pStyle w:val="ListParagraph"/>
                              <w:rPr>
                                <w:rFonts w:cstheme="minorHAnsi"/>
                                <w:b/>
                                <w:bCs/>
                                <w:i/>
                                <w:iCs/>
                                <w:color w:val="000099"/>
                                <w:sz w:val="18"/>
                                <w:szCs w:val="18"/>
                              </w:rPr>
                            </w:pPr>
                          </w:p>
                          <w:p w14:paraId="542E7A83" w14:textId="77777777" w:rsidR="006C3EFC" w:rsidRPr="006C3EFC" w:rsidRDefault="006C3EFC" w:rsidP="006C3EFC">
                            <w:pPr>
                              <w:pStyle w:val="ListParagraph"/>
                              <w:numPr>
                                <w:ilvl w:val="0"/>
                                <w:numId w:val="15"/>
                              </w:numPr>
                              <w:spacing w:after="0" w:line="240" w:lineRule="auto"/>
                              <w:ind w:left="270" w:hanging="270"/>
                              <w:rPr>
                                <w:rFonts w:cstheme="minorHAnsi"/>
                                <w:b/>
                                <w:bCs/>
                                <w:color w:val="2E74B5" w:themeColor="accent5" w:themeShade="BF"/>
                              </w:rPr>
                            </w:pPr>
                            <w:bookmarkStart w:id="5" w:name="_Hlk179195154"/>
                            <w:bookmarkStart w:id="6" w:name="_Hlk179195155"/>
                            <w:r w:rsidRPr="006C3EFC">
                              <w:rPr>
                                <w:rFonts w:cstheme="minorHAnsi"/>
                                <w:b/>
                                <w:bCs/>
                                <w:i/>
                                <w:iCs/>
                                <w:color w:val="2E74B5" w:themeColor="accent5" w:themeShade="BF"/>
                              </w:rPr>
                              <w:t>At our firm, clients come first! We would like the opportunity to discuss your unique situation.</w:t>
                            </w:r>
                            <w:bookmarkEnd w:id="5"/>
                            <w:bookmarkEnd w:id="6"/>
                          </w:p>
                          <w:p w14:paraId="5290CE9E" w14:textId="7B762962" w:rsidR="003642E8" w:rsidRPr="00ED73A8" w:rsidRDefault="003642E8" w:rsidP="00BB76D5">
                            <w:pPr>
                              <w:pStyle w:val="ListParagraph"/>
                              <w:numPr>
                                <w:ilvl w:val="0"/>
                                <w:numId w:val="15"/>
                              </w:numPr>
                              <w:spacing w:after="0" w:line="240" w:lineRule="auto"/>
                              <w:ind w:left="270" w:hanging="270"/>
                              <w:rPr>
                                <w:rFonts w:cstheme="minorHAnsi"/>
                                <w:b/>
                                <w:bCs/>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F287D1" id="_x0000_t202" coordsize="21600,21600" o:spt="202" path="m,l,21600r21600,l21600,xe">
                <v:stroke joinstyle="miter"/>
                <v:path gradientshapeok="t" o:connecttype="rect"/>
              </v:shapetype>
              <v:shape id="Text Box 2" o:spid="_x0000_s1026" type="#_x0000_t202" style="position:absolute;left:0;text-align:left;margin-left:315.1pt;margin-top:1.75pt;width:248.4pt;height:403.9pt;z-index:251986944;visibility:visible;mso-wrap-style:square;mso-width-percent:0;mso-height-percent:0;mso-wrap-distance-left:9pt;mso-wrap-distance-top:0;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" filled="f" strokecolor="#2e74b5 [2408]" strokeweight="1.5pt">
                <v:textbox>
                  <w:txbxContent>
                    <w:p w14:paraId="290943F9" w14:textId="77777777" w:rsidR="003642E8" w:rsidRPr="00A71827" w:rsidRDefault="003642E8" w:rsidP="00B524BA">
                      <w:pPr>
                        <w:jc w:val="center"/>
                        <w:rPr>
                          <w:rFonts w:ascii="Franklin Gothic Demi Cond" w:hAnsi="Franklin Gothic Demi Cond"/>
                          <w:b/>
                          <w:bCs/>
                          <w:color w:val="0F2593"/>
                          <w:sz w:val="72"/>
                          <w:szCs w:val="72"/>
                        </w:rPr>
                      </w:pPr>
                      <w:r w:rsidRPr="00A71827">
                        <w:rPr>
                          <w:b/>
                          <w:bCs/>
                          <w:color w:val="0033CC"/>
                          <w:sz w:val="6"/>
                          <w:szCs w:val="6"/>
                        </w:rPr>
                        <w:br/>
                      </w:r>
                      <w:r w:rsidRPr="00A71827">
                        <w:rPr>
                          <w:b/>
                          <w:bCs/>
                          <w:color w:val="0033CC"/>
                          <w:sz w:val="6"/>
                          <w:szCs w:val="6"/>
                        </w:rPr>
                        <w:br/>
                      </w:r>
                      <w:r w:rsidRPr="00407DEC">
                        <w:rPr>
                          <w:noProof/>
                          <w:sz w:val="18"/>
                          <w:szCs w:val="18"/>
                        </w:rPr>
                        <w:drawing>
                          <wp:inline distT="0" distB="0" distL="0" distR="0" wp14:anchorId="54519A9F" wp14:editId="21707432">
                            <wp:extent cx="2664069" cy="694055"/>
                            <wp:effectExtent l="0" t="0" r="3175" b="0"/>
                            <wp:docPr id="60830298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44727" name="Picture 1" descr="A blue sign with white text&#10;&#10;Description automatically generated"/>
                                    <pic:cNvPicPr/>
                                  </pic:nvPicPr>
                                  <pic:blipFill>
                                    <a:blip r:embed="rId12"/>
                                    <a:stretch>
                                      <a:fillRect/>
                                    </a:stretch>
                                  </pic:blipFill>
                                  <pic:spPr>
                                    <a:xfrm>
                                      <a:off x="0" y="0"/>
                                      <a:ext cx="2758572" cy="718675"/>
                                    </a:xfrm>
                                    <a:prstGeom prst="rect">
                                      <a:avLst/>
                                    </a:prstGeom>
                                  </pic:spPr>
                                </pic:pic>
                              </a:graphicData>
                            </a:graphic>
                          </wp:inline>
                        </w:drawing>
                      </w:r>
                    </w:p>
                    <w:p w14:paraId="61A8C96C"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Equity markets finished the third quarter of 2024 with strong results.</w:t>
                      </w:r>
                    </w:p>
                    <w:p w14:paraId="23440E27" w14:textId="77777777" w:rsidR="00ED73A8" w:rsidRPr="006C3EFC" w:rsidRDefault="00ED73A8" w:rsidP="00ED73A8">
                      <w:pPr>
                        <w:pStyle w:val="ListParagraph"/>
                        <w:spacing w:after="0" w:line="240" w:lineRule="auto"/>
                        <w:ind w:left="270"/>
                        <w:rPr>
                          <w:rFonts w:cstheme="minorHAnsi"/>
                          <w:color w:val="2E74B5" w:themeColor="accent5" w:themeShade="BF"/>
                          <w:sz w:val="14"/>
                          <w:szCs w:val="14"/>
                        </w:rPr>
                      </w:pPr>
                    </w:p>
                    <w:p w14:paraId="04DFA073"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 xml:space="preserve">The Fed reduced interest rates by 50 basis points to 4.75 – 5.0%. </w:t>
                      </w:r>
                    </w:p>
                    <w:p w14:paraId="121B0AB0" w14:textId="77777777" w:rsidR="00ED73A8" w:rsidRPr="006C3EFC" w:rsidRDefault="00ED73A8" w:rsidP="00ED73A8">
                      <w:pPr>
                        <w:pStyle w:val="ListParagraph"/>
                        <w:spacing w:after="0" w:line="240" w:lineRule="auto"/>
                        <w:ind w:left="270"/>
                        <w:rPr>
                          <w:rFonts w:cstheme="minorHAnsi"/>
                          <w:color w:val="2E74B5" w:themeColor="accent5" w:themeShade="BF"/>
                          <w:sz w:val="16"/>
                          <w:szCs w:val="16"/>
                        </w:rPr>
                      </w:pPr>
                    </w:p>
                    <w:p w14:paraId="3275AA2D"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bookmarkStart w:id="6" w:name="_Hlk179195054"/>
                      <w:r w:rsidRPr="00ED73A8">
                        <w:rPr>
                          <w:rFonts w:cstheme="minorHAnsi"/>
                          <w:color w:val="2E74B5" w:themeColor="accent5" w:themeShade="BF"/>
                        </w:rPr>
                        <w:t>The Fed is anticipating more monetary policy easing, with potentially additional interest rate cuts this year.</w:t>
                      </w:r>
                    </w:p>
                    <w:bookmarkEnd w:id="6"/>
                    <w:p w14:paraId="670E4894" w14:textId="77777777" w:rsidR="00ED73A8" w:rsidRPr="00847DE2" w:rsidRDefault="00ED73A8" w:rsidP="00ED73A8">
                      <w:pPr>
                        <w:pStyle w:val="ListParagraph"/>
                        <w:spacing w:after="0" w:line="240" w:lineRule="auto"/>
                        <w:ind w:left="270"/>
                        <w:rPr>
                          <w:rFonts w:cstheme="minorHAnsi"/>
                          <w:color w:val="2E74B5" w:themeColor="accent5" w:themeShade="BF"/>
                          <w:sz w:val="18"/>
                          <w:szCs w:val="18"/>
                        </w:rPr>
                      </w:pPr>
                    </w:p>
                    <w:p w14:paraId="2A033381"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bookmarkStart w:id="7" w:name="_Hlk179195087"/>
                      <w:r w:rsidRPr="00ED73A8">
                        <w:rPr>
                          <w:rFonts w:cstheme="minorHAnsi"/>
                          <w:color w:val="2E74B5" w:themeColor="accent5" w:themeShade="BF"/>
                        </w:rPr>
                        <w:t>Inflation rates have moved closer to the Fed’s desired 2% goal.</w:t>
                      </w:r>
                    </w:p>
                    <w:bookmarkEnd w:id="7"/>
                    <w:p w14:paraId="57DB9841" w14:textId="77777777" w:rsidR="00ED73A8" w:rsidRPr="006C3EFC" w:rsidRDefault="00ED73A8" w:rsidP="00ED73A8">
                      <w:pPr>
                        <w:spacing w:after="0" w:line="240" w:lineRule="auto"/>
                        <w:rPr>
                          <w:rFonts w:cstheme="minorHAnsi"/>
                          <w:color w:val="2E74B5" w:themeColor="accent5" w:themeShade="BF"/>
                          <w:sz w:val="16"/>
                          <w:szCs w:val="16"/>
                        </w:rPr>
                      </w:pPr>
                    </w:p>
                    <w:p w14:paraId="1E6CDEE4" w14:textId="0F3E75C0" w:rsidR="00ED73A8" w:rsidRPr="00ED73A8" w:rsidRDefault="00847DE2" w:rsidP="00ED73A8">
                      <w:pPr>
                        <w:pStyle w:val="ListParagraph"/>
                        <w:numPr>
                          <w:ilvl w:val="0"/>
                          <w:numId w:val="15"/>
                        </w:numPr>
                        <w:spacing w:after="0" w:line="240" w:lineRule="auto"/>
                        <w:ind w:left="270" w:hanging="270"/>
                        <w:rPr>
                          <w:rFonts w:cstheme="minorHAnsi"/>
                          <w:color w:val="2E74B5" w:themeColor="accent5" w:themeShade="BF"/>
                        </w:rPr>
                      </w:pPr>
                      <w:r>
                        <w:rPr>
                          <w:rFonts w:cstheme="minorHAnsi"/>
                          <w:color w:val="2E74B5" w:themeColor="accent5" w:themeShade="BF"/>
                        </w:rPr>
                        <w:t>T</w:t>
                      </w:r>
                      <w:r w:rsidR="00ED73A8" w:rsidRPr="00ED73A8">
                        <w:rPr>
                          <w:rFonts w:cstheme="minorHAnsi"/>
                          <w:color w:val="2E74B5" w:themeColor="accent5" w:themeShade="BF"/>
                        </w:rPr>
                        <w:t xml:space="preserve">he economy and equity markets remain strong. </w:t>
                      </w:r>
                      <w:r w:rsidR="00ED73A8" w:rsidRPr="00ED73A8">
                        <w:rPr>
                          <w:rFonts w:cstheme="minorHAnsi"/>
                          <w:color w:val="2E74B5" w:themeColor="accent5" w:themeShade="BF"/>
                        </w:rPr>
                        <w:br/>
                      </w:r>
                    </w:p>
                    <w:p w14:paraId="51AF8C2C"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Historically, the fourth quarter of the year is a strong one for equities.</w:t>
                      </w:r>
                    </w:p>
                    <w:p w14:paraId="56A1486D" w14:textId="77777777" w:rsidR="00ED73A8" w:rsidRPr="00847DE2" w:rsidRDefault="00ED73A8" w:rsidP="00ED73A8">
                      <w:pPr>
                        <w:spacing w:after="0" w:line="240" w:lineRule="auto"/>
                        <w:rPr>
                          <w:rFonts w:cstheme="minorHAnsi"/>
                          <w:color w:val="2E74B5" w:themeColor="accent5" w:themeShade="BF"/>
                          <w:sz w:val="18"/>
                          <w:szCs w:val="18"/>
                        </w:rPr>
                      </w:pPr>
                    </w:p>
                    <w:p w14:paraId="046472A4" w14:textId="77777777" w:rsidR="00ED73A8" w:rsidRPr="00ED73A8" w:rsidRDefault="00ED73A8" w:rsidP="00ED73A8">
                      <w:pPr>
                        <w:pStyle w:val="ListParagraph"/>
                        <w:numPr>
                          <w:ilvl w:val="0"/>
                          <w:numId w:val="15"/>
                        </w:numPr>
                        <w:spacing w:after="0" w:line="240" w:lineRule="auto"/>
                        <w:ind w:left="270" w:hanging="270"/>
                        <w:rPr>
                          <w:rFonts w:cstheme="minorHAnsi"/>
                          <w:color w:val="2E74B5" w:themeColor="accent5" w:themeShade="BF"/>
                        </w:rPr>
                      </w:pPr>
                      <w:r w:rsidRPr="00ED73A8">
                        <w:rPr>
                          <w:rFonts w:cstheme="minorHAnsi"/>
                          <w:color w:val="2E74B5" w:themeColor="accent5" w:themeShade="BF"/>
                        </w:rPr>
                        <w:t>Staying the course and maintaining the consistency of a well-devised, long-term focused plan has historically served investors well.</w:t>
                      </w:r>
                    </w:p>
                    <w:p w14:paraId="1C8EA66B" w14:textId="77777777" w:rsidR="00ED73A8" w:rsidRPr="006C3EFC" w:rsidRDefault="00ED73A8" w:rsidP="00ED73A8">
                      <w:pPr>
                        <w:pStyle w:val="ListParagraph"/>
                        <w:rPr>
                          <w:rFonts w:cstheme="minorHAnsi"/>
                          <w:b/>
                          <w:bCs/>
                          <w:i/>
                          <w:iCs/>
                          <w:color w:val="000099"/>
                          <w:sz w:val="18"/>
                          <w:szCs w:val="18"/>
                        </w:rPr>
                      </w:pPr>
                    </w:p>
                    <w:p w14:paraId="542E7A83" w14:textId="77777777" w:rsidR="006C3EFC" w:rsidRPr="006C3EFC" w:rsidRDefault="006C3EFC" w:rsidP="006C3EFC">
                      <w:pPr>
                        <w:pStyle w:val="ListParagraph"/>
                        <w:numPr>
                          <w:ilvl w:val="0"/>
                          <w:numId w:val="15"/>
                        </w:numPr>
                        <w:spacing w:after="0" w:line="240" w:lineRule="auto"/>
                        <w:ind w:left="270" w:hanging="270"/>
                        <w:rPr>
                          <w:rFonts w:cstheme="minorHAnsi"/>
                          <w:b/>
                          <w:bCs/>
                          <w:color w:val="2E74B5" w:themeColor="accent5" w:themeShade="BF"/>
                        </w:rPr>
                      </w:pPr>
                      <w:bookmarkStart w:id="8" w:name="_Hlk179195154"/>
                      <w:bookmarkStart w:id="9" w:name="_Hlk179195155"/>
                      <w:r w:rsidRPr="006C3EFC">
                        <w:rPr>
                          <w:rFonts w:cstheme="minorHAnsi"/>
                          <w:b/>
                          <w:bCs/>
                          <w:i/>
                          <w:iCs/>
                          <w:color w:val="2E74B5" w:themeColor="accent5" w:themeShade="BF"/>
                        </w:rPr>
                        <w:t>At our firm, clients come first! We would like the opportunity to discuss your unique situation.</w:t>
                      </w:r>
                      <w:bookmarkEnd w:id="8"/>
                      <w:bookmarkEnd w:id="9"/>
                    </w:p>
                    <w:p w14:paraId="5290CE9E" w14:textId="7B762962" w:rsidR="003642E8" w:rsidRPr="00ED73A8" w:rsidRDefault="003642E8" w:rsidP="00BB76D5">
                      <w:pPr>
                        <w:pStyle w:val="ListParagraph"/>
                        <w:numPr>
                          <w:ilvl w:val="0"/>
                          <w:numId w:val="15"/>
                        </w:numPr>
                        <w:spacing w:after="0" w:line="240" w:lineRule="auto"/>
                        <w:ind w:left="270" w:hanging="270"/>
                        <w:rPr>
                          <w:rFonts w:cstheme="minorHAnsi"/>
                          <w:b/>
                          <w:bCs/>
                          <w:color w:val="0070C0"/>
                        </w:rPr>
                      </w:pPr>
                    </w:p>
                  </w:txbxContent>
                </v:textbox>
                <w10:wrap type="square" anchorx="page"/>
              </v:shape>
            </w:pict>
          </mc:Fallback>
        </mc:AlternateContent>
      </w:r>
      <w:r w:rsidR="00615780" w:rsidRPr="00ED73A8">
        <w:rPr>
          <w:rFonts w:eastAsiaTheme="minorEastAsia"/>
          <w:sz w:val="21"/>
          <w:szCs w:val="21"/>
        </w:rPr>
        <w:t xml:space="preserve">September, the </w:t>
      </w:r>
      <w:r w:rsidR="00773871" w:rsidRPr="00ED73A8">
        <w:rPr>
          <w:rFonts w:eastAsiaTheme="minorEastAsia"/>
          <w:sz w:val="21"/>
          <w:szCs w:val="21"/>
        </w:rPr>
        <w:t xml:space="preserve">Federal Funds </w:t>
      </w:r>
      <w:r w:rsidR="00615780" w:rsidRPr="00ED73A8">
        <w:rPr>
          <w:rFonts w:eastAsiaTheme="minorEastAsia"/>
          <w:sz w:val="21"/>
          <w:szCs w:val="21"/>
        </w:rPr>
        <w:t xml:space="preserve">interest rate range was reduced by a half percent, down to 4.75 – 5.00%. </w:t>
      </w:r>
    </w:p>
    <w:p w14:paraId="31E78CDE" w14:textId="2124C389" w:rsidR="00615780" w:rsidRPr="00ED73A8" w:rsidRDefault="00615780" w:rsidP="00615780">
      <w:pPr>
        <w:pStyle w:val="NormalWeb"/>
        <w:spacing w:before="0" w:beforeAutospacing="0" w:after="0" w:afterAutospacing="0"/>
        <w:jc w:val="both"/>
        <w:textAlignment w:val="baseline"/>
        <w:rPr>
          <w:rFonts w:eastAsiaTheme="minorEastAsia"/>
          <w:sz w:val="21"/>
          <w:szCs w:val="21"/>
        </w:rPr>
      </w:pPr>
    </w:p>
    <w:p w14:paraId="1B977D72" w14:textId="1DC4448A" w:rsidR="00615780" w:rsidRPr="00ED73A8" w:rsidRDefault="00615780" w:rsidP="00615780">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 xml:space="preserve">Employment statistics are considered a strong measure of the economy's health. </w:t>
      </w:r>
      <w:bookmarkStart w:id="7" w:name="_Hlk163459006"/>
      <w:r w:rsidRPr="00ED73A8">
        <w:rPr>
          <w:rFonts w:eastAsiaTheme="minorHAnsi"/>
          <w:sz w:val="21"/>
          <w:szCs w:val="21"/>
        </w:rPr>
        <w:t xml:space="preserve">In August, the unemployment rate was 4.2%, higher than a year earlier when the jobless rate was 3.8%. While this is an uptick, unemployment reports continued to defy expectations. Many anticipated a significant rise in unemployment coupled with falling inflation. </w:t>
      </w:r>
      <w:r w:rsidR="0070779A" w:rsidRPr="00ED73A8">
        <w:rPr>
          <w:rFonts w:eastAsiaTheme="minorHAnsi"/>
          <w:i/>
          <w:iCs/>
          <w:sz w:val="18"/>
          <w:szCs w:val="18"/>
        </w:rPr>
        <w:t>(Source: www.bls.gov</w:t>
      </w:r>
      <w:r w:rsidR="0070779A" w:rsidRPr="00ED73A8">
        <w:rPr>
          <w:rFonts w:eastAsiaTheme="minorHAnsi"/>
          <w:i/>
          <w:iCs/>
          <w:sz w:val="21"/>
          <w:szCs w:val="21"/>
        </w:rPr>
        <w:t>)</w:t>
      </w:r>
    </w:p>
    <w:bookmarkEnd w:id="7"/>
    <w:p w14:paraId="6F458030" w14:textId="651A9796" w:rsidR="00615780" w:rsidRPr="00ED73A8" w:rsidRDefault="00615780" w:rsidP="00132B5D">
      <w:pPr>
        <w:pStyle w:val="NormalWeb"/>
        <w:spacing w:before="0" w:beforeAutospacing="0" w:after="0" w:afterAutospacing="0"/>
        <w:jc w:val="both"/>
        <w:textAlignment w:val="baseline"/>
        <w:rPr>
          <w:rFonts w:eastAsiaTheme="minorHAnsi"/>
          <w:sz w:val="21"/>
          <w:szCs w:val="21"/>
        </w:rPr>
      </w:pPr>
    </w:p>
    <w:p w14:paraId="25BACBA5" w14:textId="2FF69D65" w:rsidR="00615780" w:rsidRPr="00ED73A8" w:rsidRDefault="00615780" w:rsidP="00132B5D">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With continued low unemployment rates combined with reduced inflation, the U.S. economy maintained its strength, and economic activity continued to expand</w:t>
      </w:r>
      <w:r w:rsidR="006903A1" w:rsidRPr="00ED73A8">
        <w:rPr>
          <w:rFonts w:eastAsiaTheme="minorHAnsi"/>
          <w:sz w:val="21"/>
          <w:szCs w:val="21"/>
        </w:rPr>
        <w:t xml:space="preserve">, even during this </w:t>
      </w:r>
      <w:r w:rsidR="004E73CD" w:rsidRPr="00ED73A8">
        <w:rPr>
          <w:rFonts w:eastAsiaTheme="minorHAnsi"/>
          <w:sz w:val="21"/>
          <w:szCs w:val="21"/>
        </w:rPr>
        <w:t>relatively rapid</w:t>
      </w:r>
      <w:r w:rsidR="006903A1" w:rsidRPr="00ED73A8">
        <w:rPr>
          <w:rFonts w:eastAsiaTheme="minorHAnsi"/>
          <w:sz w:val="21"/>
          <w:szCs w:val="21"/>
        </w:rPr>
        <w:t xml:space="preserve"> disinflationary period. </w:t>
      </w:r>
    </w:p>
    <w:p w14:paraId="30082D87" w14:textId="6EF04E30" w:rsidR="00E8658C" w:rsidRPr="00ED73A8" w:rsidRDefault="00E8658C" w:rsidP="00FB5DE5">
      <w:pPr>
        <w:pStyle w:val="NormalWeb"/>
        <w:spacing w:before="0" w:beforeAutospacing="0" w:after="0" w:afterAutospacing="0"/>
        <w:jc w:val="both"/>
        <w:textAlignment w:val="baseline"/>
        <w:rPr>
          <w:rFonts w:eastAsiaTheme="minorHAnsi"/>
          <w:sz w:val="21"/>
          <w:szCs w:val="21"/>
        </w:rPr>
      </w:pPr>
    </w:p>
    <w:p w14:paraId="70695BC9" w14:textId="50C2FB88" w:rsidR="00B524BA" w:rsidRPr="00ED73A8" w:rsidRDefault="00E8658C" w:rsidP="00FB5DE5">
      <w:pPr>
        <w:pStyle w:val="NormalWeb"/>
        <w:spacing w:before="0" w:beforeAutospacing="0" w:after="0" w:afterAutospacing="0"/>
        <w:jc w:val="both"/>
        <w:textAlignment w:val="baseline"/>
        <w:rPr>
          <w:rFonts w:eastAsiaTheme="minorHAnsi"/>
          <w:i/>
          <w:iCs/>
          <w:sz w:val="21"/>
          <w:szCs w:val="21"/>
        </w:rPr>
      </w:pPr>
      <w:r w:rsidRPr="00ED73A8">
        <w:rPr>
          <w:rFonts w:eastAsiaTheme="minorHAnsi"/>
          <w:sz w:val="21"/>
          <w:szCs w:val="21"/>
        </w:rPr>
        <w:t xml:space="preserve">In September, the Energy Price Index was down 3.20% from August, and down 5.64% year-over-year. </w:t>
      </w:r>
      <w:r w:rsidR="00FB5DE5" w:rsidRPr="00ED73A8">
        <w:rPr>
          <w:rFonts w:eastAsiaTheme="minorHAnsi"/>
          <w:sz w:val="21"/>
          <w:szCs w:val="21"/>
        </w:rPr>
        <w:t xml:space="preserve">Gasoline, </w:t>
      </w:r>
      <w:r w:rsidRPr="00ED73A8">
        <w:rPr>
          <w:rFonts w:eastAsiaTheme="minorHAnsi"/>
          <w:sz w:val="21"/>
          <w:szCs w:val="21"/>
        </w:rPr>
        <w:t>year-over-year</w:t>
      </w:r>
      <w:r w:rsidR="00E51C55" w:rsidRPr="00ED73A8">
        <w:rPr>
          <w:rFonts w:eastAsiaTheme="minorHAnsi"/>
          <w:sz w:val="21"/>
          <w:szCs w:val="21"/>
        </w:rPr>
        <w:t>, as of August, is down 10.3%. The average cost of regular gasoline at the end of September was approximately $3.20 compared to last September’s average of $3.85.</w:t>
      </w:r>
      <w:r w:rsidR="00B524BA" w:rsidRPr="00ED73A8">
        <w:rPr>
          <w:rFonts w:eastAsiaTheme="minorHAnsi"/>
          <w:sz w:val="21"/>
          <w:szCs w:val="21"/>
        </w:rPr>
        <w:t xml:space="preserve"> </w:t>
      </w:r>
      <w:r w:rsidR="00E51C55" w:rsidRPr="00ED73A8">
        <w:rPr>
          <w:rFonts w:eastAsiaTheme="minorHAnsi"/>
          <w:i/>
          <w:iCs/>
          <w:sz w:val="18"/>
          <w:szCs w:val="18"/>
        </w:rPr>
        <w:t xml:space="preserve">(Sources: </w:t>
      </w:r>
      <w:hyperlink r:id="rId13" w:history="1">
        <w:r w:rsidR="00E51C55" w:rsidRPr="00ED73A8">
          <w:rPr>
            <w:rFonts w:eastAsiaTheme="minorHAnsi"/>
            <w:i/>
            <w:iCs/>
            <w:sz w:val="18"/>
            <w:szCs w:val="18"/>
          </w:rPr>
          <w:t>www.bls.gov/news.release</w:t>
        </w:r>
      </w:hyperlink>
      <w:r w:rsidR="00E51C55" w:rsidRPr="00ED73A8">
        <w:rPr>
          <w:rFonts w:eastAsiaTheme="minorHAnsi"/>
          <w:i/>
          <w:iCs/>
          <w:sz w:val="18"/>
          <w:szCs w:val="18"/>
        </w:rPr>
        <w:t>; gasprices.aaa.com)</w:t>
      </w:r>
    </w:p>
    <w:p w14:paraId="7750ACDF" w14:textId="14F3333F" w:rsidR="00FB5DE5" w:rsidRPr="00ED73A8" w:rsidRDefault="00B524BA" w:rsidP="00FB5DE5">
      <w:pPr>
        <w:pStyle w:val="NormalWeb"/>
        <w:spacing w:before="0" w:beforeAutospacing="0" w:after="0" w:afterAutospacing="0"/>
        <w:jc w:val="both"/>
        <w:textAlignment w:val="baseline"/>
        <w:rPr>
          <w:rFonts w:eastAsiaTheme="minorHAnsi"/>
          <w:sz w:val="21"/>
          <w:szCs w:val="21"/>
        </w:rPr>
      </w:pPr>
      <w:r w:rsidRPr="00ED73A8">
        <w:rPr>
          <w:rFonts w:eastAsiaTheme="minorHAnsi"/>
          <w:i/>
          <w:iCs/>
          <w:sz w:val="21"/>
          <w:szCs w:val="21"/>
        </w:rPr>
        <w:br/>
      </w:r>
      <w:r w:rsidR="00FB5DE5" w:rsidRPr="00ED73A8">
        <w:rPr>
          <w:rFonts w:eastAsiaTheme="minorHAnsi"/>
          <w:sz w:val="21"/>
          <w:szCs w:val="21"/>
        </w:rPr>
        <w:t xml:space="preserve">Shelter </w:t>
      </w:r>
      <w:r w:rsidR="004D0051" w:rsidRPr="00ED73A8">
        <w:rPr>
          <w:rFonts w:eastAsiaTheme="minorHAnsi"/>
          <w:sz w:val="21"/>
          <w:szCs w:val="21"/>
        </w:rPr>
        <w:t xml:space="preserve">costs continued to </w:t>
      </w:r>
      <w:r w:rsidR="00F53C9C" w:rsidRPr="00ED73A8">
        <w:rPr>
          <w:rFonts w:eastAsiaTheme="minorHAnsi"/>
          <w:sz w:val="21"/>
          <w:szCs w:val="21"/>
        </w:rPr>
        <w:t>strain</w:t>
      </w:r>
      <w:r w:rsidR="004D0051" w:rsidRPr="00ED73A8">
        <w:rPr>
          <w:rFonts w:eastAsiaTheme="minorHAnsi"/>
          <w:sz w:val="21"/>
          <w:szCs w:val="21"/>
        </w:rPr>
        <w:t xml:space="preserve"> consumers</w:t>
      </w:r>
      <w:r w:rsidR="00E51C55" w:rsidRPr="00ED73A8">
        <w:rPr>
          <w:rFonts w:eastAsiaTheme="minorHAnsi"/>
          <w:sz w:val="21"/>
          <w:szCs w:val="21"/>
        </w:rPr>
        <w:t xml:space="preserve"> </w:t>
      </w:r>
      <w:r w:rsidR="004D0051" w:rsidRPr="00ED73A8">
        <w:rPr>
          <w:rFonts w:eastAsiaTheme="minorHAnsi"/>
          <w:sz w:val="21"/>
          <w:szCs w:val="21"/>
        </w:rPr>
        <w:t>and</w:t>
      </w:r>
      <w:r w:rsidR="00920591" w:rsidRPr="00ED73A8">
        <w:rPr>
          <w:rFonts w:eastAsiaTheme="minorHAnsi"/>
          <w:sz w:val="21"/>
          <w:szCs w:val="21"/>
        </w:rPr>
        <w:t xml:space="preserve"> as of August, are</w:t>
      </w:r>
      <w:r w:rsidR="00E51C55" w:rsidRPr="00ED73A8">
        <w:rPr>
          <w:rFonts w:eastAsiaTheme="minorHAnsi"/>
          <w:sz w:val="21"/>
          <w:szCs w:val="21"/>
        </w:rPr>
        <w:t xml:space="preserve"> 5.2% higher year-over-year.</w:t>
      </w:r>
      <w:r w:rsidR="00920591" w:rsidRPr="00ED73A8">
        <w:rPr>
          <w:rFonts w:eastAsiaTheme="minorHAnsi"/>
          <w:sz w:val="21"/>
          <w:szCs w:val="21"/>
        </w:rPr>
        <w:t xml:space="preserve"> </w:t>
      </w:r>
      <w:r w:rsidR="00133809" w:rsidRPr="00ED73A8">
        <w:rPr>
          <w:rFonts w:eastAsiaTheme="minorHAnsi"/>
          <w:sz w:val="21"/>
          <w:szCs w:val="21"/>
        </w:rPr>
        <w:t xml:space="preserve">Year-over-year, food at home rose </w:t>
      </w:r>
      <w:r w:rsidR="00E51C55" w:rsidRPr="00ED73A8">
        <w:rPr>
          <w:rFonts w:eastAsiaTheme="minorHAnsi"/>
          <w:sz w:val="21"/>
          <w:szCs w:val="21"/>
        </w:rPr>
        <w:t>0.9</w:t>
      </w:r>
      <w:r w:rsidR="00C50D53" w:rsidRPr="00ED73A8">
        <w:rPr>
          <w:rFonts w:eastAsiaTheme="minorHAnsi"/>
          <w:sz w:val="21"/>
          <w:szCs w:val="21"/>
        </w:rPr>
        <w:t>%, while</w:t>
      </w:r>
      <w:r w:rsidR="00133809" w:rsidRPr="00ED73A8">
        <w:rPr>
          <w:rFonts w:eastAsiaTheme="minorHAnsi"/>
          <w:sz w:val="21"/>
          <w:szCs w:val="21"/>
        </w:rPr>
        <w:t xml:space="preserve"> </w:t>
      </w:r>
      <w:r w:rsidR="00920591" w:rsidRPr="00ED73A8">
        <w:rPr>
          <w:rFonts w:eastAsiaTheme="minorHAnsi"/>
          <w:sz w:val="21"/>
          <w:szCs w:val="21"/>
        </w:rPr>
        <w:t>trips</w:t>
      </w:r>
      <w:r w:rsidR="00133809" w:rsidRPr="00ED73A8">
        <w:rPr>
          <w:rFonts w:eastAsiaTheme="minorHAnsi"/>
          <w:sz w:val="21"/>
          <w:szCs w:val="21"/>
        </w:rPr>
        <w:t xml:space="preserve"> to a restaurant </w:t>
      </w:r>
      <w:r w:rsidR="00E51C55" w:rsidRPr="00ED73A8">
        <w:rPr>
          <w:rFonts w:eastAsiaTheme="minorHAnsi"/>
          <w:sz w:val="21"/>
          <w:szCs w:val="21"/>
        </w:rPr>
        <w:t>continued to be</w:t>
      </w:r>
      <w:r w:rsidR="00133809" w:rsidRPr="00ED73A8">
        <w:rPr>
          <w:rFonts w:eastAsiaTheme="minorHAnsi"/>
          <w:sz w:val="21"/>
          <w:szCs w:val="21"/>
        </w:rPr>
        <w:t xml:space="preserve"> 4.0%</w:t>
      </w:r>
      <w:r w:rsidR="00E51C55" w:rsidRPr="00ED73A8">
        <w:rPr>
          <w:rFonts w:eastAsiaTheme="minorHAnsi"/>
          <w:sz w:val="21"/>
          <w:szCs w:val="21"/>
        </w:rPr>
        <w:t xml:space="preserve"> higher</w:t>
      </w:r>
      <w:r w:rsidR="00133809" w:rsidRPr="00ED73A8">
        <w:rPr>
          <w:rFonts w:eastAsiaTheme="minorHAnsi"/>
          <w:sz w:val="21"/>
          <w:szCs w:val="21"/>
        </w:rPr>
        <w:t xml:space="preserve"> in </w:t>
      </w:r>
      <w:r w:rsidR="00E51C55" w:rsidRPr="00ED73A8">
        <w:rPr>
          <w:rFonts w:eastAsiaTheme="minorHAnsi"/>
          <w:sz w:val="21"/>
          <w:szCs w:val="21"/>
        </w:rPr>
        <w:t>August</w:t>
      </w:r>
      <w:r w:rsidR="00133809" w:rsidRPr="00ED73A8">
        <w:rPr>
          <w:rFonts w:eastAsiaTheme="minorHAnsi"/>
          <w:sz w:val="21"/>
          <w:szCs w:val="21"/>
        </w:rPr>
        <w:t>.</w:t>
      </w:r>
      <w:r w:rsidR="00FB5DE5" w:rsidRPr="00ED73A8">
        <w:rPr>
          <w:rFonts w:eastAsiaTheme="minorHAnsi"/>
          <w:sz w:val="21"/>
          <w:szCs w:val="21"/>
        </w:rPr>
        <w:t xml:space="preserve"> </w:t>
      </w:r>
      <w:r w:rsidR="00FB5DE5" w:rsidRPr="00ED73A8">
        <w:rPr>
          <w:rFonts w:eastAsiaTheme="minorHAnsi"/>
          <w:i/>
          <w:iCs/>
          <w:sz w:val="18"/>
          <w:szCs w:val="18"/>
        </w:rPr>
        <w:t>(Source: www.bls.gov/news.release)</w:t>
      </w:r>
    </w:p>
    <w:p w14:paraId="4A2484F3" w14:textId="7CA1D3F9" w:rsidR="0063542A" w:rsidRPr="00ED73A8" w:rsidRDefault="0063542A" w:rsidP="00FB5DE5">
      <w:pPr>
        <w:pStyle w:val="NormalWeb"/>
        <w:spacing w:before="0" w:beforeAutospacing="0" w:after="0" w:afterAutospacing="0"/>
        <w:jc w:val="both"/>
        <w:textAlignment w:val="baseline"/>
        <w:rPr>
          <w:rFonts w:eastAsiaTheme="minorHAnsi"/>
          <w:i/>
          <w:iCs/>
          <w:sz w:val="21"/>
          <w:szCs w:val="21"/>
        </w:rPr>
      </w:pPr>
    </w:p>
    <w:p w14:paraId="393D464F" w14:textId="3B38FAF0" w:rsidR="0009268C" w:rsidRPr="00ED73A8" w:rsidRDefault="00FB116B" w:rsidP="00D9257F">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 xml:space="preserve">Overall, the </w:t>
      </w:r>
      <w:r w:rsidR="00920591" w:rsidRPr="00ED73A8">
        <w:rPr>
          <w:rFonts w:eastAsiaTheme="minorHAnsi"/>
          <w:sz w:val="21"/>
          <w:szCs w:val="21"/>
        </w:rPr>
        <w:t>third</w:t>
      </w:r>
      <w:r w:rsidR="00EC449A" w:rsidRPr="00ED73A8">
        <w:rPr>
          <w:rFonts w:eastAsiaTheme="minorHAnsi"/>
          <w:sz w:val="21"/>
          <w:szCs w:val="21"/>
        </w:rPr>
        <w:t xml:space="preserve"> quarter of 2024</w:t>
      </w:r>
      <w:r w:rsidR="00920591" w:rsidRPr="00ED73A8">
        <w:rPr>
          <w:rFonts w:eastAsiaTheme="minorHAnsi"/>
          <w:sz w:val="21"/>
          <w:szCs w:val="21"/>
        </w:rPr>
        <w:t xml:space="preserve"> was </w:t>
      </w:r>
      <w:r w:rsidR="00656911" w:rsidRPr="00ED73A8">
        <w:rPr>
          <w:rFonts w:eastAsiaTheme="minorHAnsi"/>
          <w:sz w:val="21"/>
          <w:szCs w:val="21"/>
        </w:rPr>
        <w:t xml:space="preserve">a </w:t>
      </w:r>
      <w:r w:rsidR="00920591" w:rsidRPr="00ED73A8">
        <w:rPr>
          <w:rFonts w:eastAsiaTheme="minorHAnsi"/>
          <w:sz w:val="21"/>
          <w:szCs w:val="21"/>
        </w:rPr>
        <w:t>favorable</w:t>
      </w:r>
      <w:r w:rsidR="00656911" w:rsidRPr="00ED73A8">
        <w:rPr>
          <w:rFonts w:eastAsiaTheme="minorHAnsi"/>
          <w:sz w:val="21"/>
          <w:szCs w:val="21"/>
        </w:rPr>
        <w:t xml:space="preserve"> one </w:t>
      </w:r>
      <w:r w:rsidR="00920591" w:rsidRPr="00ED73A8">
        <w:rPr>
          <w:rFonts w:eastAsiaTheme="minorHAnsi"/>
          <w:sz w:val="21"/>
          <w:szCs w:val="21"/>
        </w:rPr>
        <w:t xml:space="preserve">for investors. </w:t>
      </w:r>
      <w:r w:rsidR="00B524BA" w:rsidRPr="00ED73A8">
        <w:rPr>
          <w:rFonts w:eastAsiaTheme="minorHAnsi"/>
          <w:sz w:val="21"/>
          <w:szCs w:val="21"/>
        </w:rPr>
        <w:t>I</w:t>
      </w:r>
      <w:r w:rsidR="0009268C" w:rsidRPr="00ED73A8">
        <w:rPr>
          <w:rFonts w:eastAsiaTheme="minorHAnsi"/>
          <w:sz w:val="21"/>
          <w:szCs w:val="21"/>
        </w:rPr>
        <w:t xml:space="preserve">nvestor sentiment remained optimistic. We are still enjoying a bull market. However, the next quarter brings elections and the potential for significant change. It is </w:t>
      </w:r>
      <w:r w:rsidR="00656911" w:rsidRPr="00ED73A8">
        <w:rPr>
          <w:rFonts w:eastAsiaTheme="minorHAnsi"/>
          <w:sz w:val="21"/>
          <w:szCs w:val="21"/>
        </w:rPr>
        <w:t>still wise</w:t>
      </w:r>
      <w:r w:rsidR="0009268C" w:rsidRPr="00ED73A8">
        <w:rPr>
          <w:rFonts w:eastAsiaTheme="minorHAnsi"/>
          <w:sz w:val="21"/>
          <w:szCs w:val="21"/>
        </w:rPr>
        <w:t xml:space="preserve"> to remain alert, cautious, and focused on one’s personal situation. </w:t>
      </w:r>
    </w:p>
    <w:p w14:paraId="6C7922F1" w14:textId="655D0F40" w:rsidR="0009268C" w:rsidRPr="00ED73A8" w:rsidRDefault="0009268C" w:rsidP="00D9257F">
      <w:pPr>
        <w:pStyle w:val="NormalWeb"/>
        <w:spacing w:before="0" w:beforeAutospacing="0" w:after="0" w:afterAutospacing="0"/>
        <w:jc w:val="both"/>
        <w:textAlignment w:val="baseline"/>
        <w:rPr>
          <w:rFonts w:eastAsiaTheme="minorHAnsi"/>
          <w:sz w:val="21"/>
          <w:szCs w:val="21"/>
        </w:rPr>
      </w:pPr>
    </w:p>
    <w:p w14:paraId="7D5A49B8" w14:textId="193FC728" w:rsidR="00B27847" w:rsidRPr="00ED73A8" w:rsidRDefault="000044FA" w:rsidP="00B27847">
      <w:pPr>
        <w:shd w:val="clear" w:color="auto" w:fill="BDD6EE" w:themeFill="accent5" w:themeFillTint="66"/>
        <w:spacing w:line="240" w:lineRule="auto"/>
        <w:jc w:val="center"/>
        <w:rPr>
          <w:rFonts w:cstheme="minorHAnsi"/>
          <w:b/>
          <w:bCs/>
          <w:sz w:val="28"/>
          <w:szCs w:val="28"/>
        </w:rPr>
      </w:pPr>
      <w:bookmarkStart w:id="8" w:name="_Hlk122608787"/>
      <w:bookmarkEnd w:id="2"/>
      <w:r w:rsidRPr="00ED73A8">
        <w:rPr>
          <w:rFonts w:cstheme="minorHAnsi"/>
          <w:b/>
          <w:bCs/>
          <w:sz w:val="28"/>
          <w:szCs w:val="28"/>
        </w:rPr>
        <w:t>Inflation &amp; Interest Rates</w:t>
      </w:r>
      <w:bookmarkEnd w:id="8"/>
    </w:p>
    <w:p w14:paraId="21E12096" w14:textId="16BEDB3B" w:rsidR="00721B06" w:rsidRPr="00ED73A8" w:rsidRDefault="00721B06" w:rsidP="00E560D1">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 xml:space="preserve">During </w:t>
      </w:r>
      <w:r w:rsidR="007E2D9A" w:rsidRPr="00ED73A8">
        <w:rPr>
          <w:rFonts w:eastAsiaTheme="minorEastAsia"/>
          <w:sz w:val="21"/>
          <w:szCs w:val="21"/>
        </w:rPr>
        <w:t xml:space="preserve">two </w:t>
      </w:r>
      <w:r w:rsidRPr="00ED73A8">
        <w:rPr>
          <w:rFonts w:eastAsiaTheme="minorEastAsia"/>
          <w:sz w:val="21"/>
          <w:szCs w:val="21"/>
        </w:rPr>
        <w:t>unscheduled meeting</w:t>
      </w:r>
      <w:r w:rsidR="007E2D9A" w:rsidRPr="00ED73A8">
        <w:rPr>
          <w:rFonts w:eastAsiaTheme="minorEastAsia"/>
          <w:sz w:val="21"/>
          <w:szCs w:val="21"/>
        </w:rPr>
        <w:t>s</w:t>
      </w:r>
      <w:r w:rsidRPr="00ED73A8">
        <w:rPr>
          <w:rFonts w:eastAsiaTheme="minorEastAsia"/>
          <w:sz w:val="21"/>
          <w:szCs w:val="21"/>
        </w:rPr>
        <w:t xml:space="preserve"> in March 2020, the Federal Reserve cut interest rates to cope with the pandemic-induced recession</w:t>
      </w:r>
      <w:r w:rsidR="007E2D9A" w:rsidRPr="00ED73A8">
        <w:rPr>
          <w:rFonts w:eastAsiaTheme="minorEastAsia"/>
          <w:sz w:val="21"/>
          <w:szCs w:val="21"/>
        </w:rPr>
        <w:t xml:space="preserve">. Those two meetings </w:t>
      </w:r>
      <w:r w:rsidR="00165F7A" w:rsidRPr="00ED73A8">
        <w:rPr>
          <w:rFonts w:eastAsiaTheme="minorEastAsia"/>
          <w:sz w:val="21"/>
          <w:szCs w:val="21"/>
        </w:rPr>
        <w:t>re</w:t>
      </w:r>
      <w:r w:rsidR="007E2D9A" w:rsidRPr="00ED73A8">
        <w:rPr>
          <w:rFonts w:eastAsiaTheme="minorEastAsia"/>
          <w:sz w:val="21"/>
          <w:szCs w:val="21"/>
        </w:rPr>
        <w:t>s</w:t>
      </w:r>
      <w:r w:rsidR="00165F7A" w:rsidRPr="00ED73A8">
        <w:rPr>
          <w:rFonts w:eastAsiaTheme="minorEastAsia"/>
          <w:sz w:val="21"/>
          <w:szCs w:val="21"/>
        </w:rPr>
        <w:t>ulted in</w:t>
      </w:r>
      <w:r w:rsidR="007E2D9A" w:rsidRPr="00ED73A8">
        <w:rPr>
          <w:rFonts w:eastAsiaTheme="minorEastAsia"/>
          <w:sz w:val="21"/>
          <w:szCs w:val="21"/>
        </w:rPr>
        <w:t xml:space="preserve"> a federal funds target rate range of 0 – 0.25%. </w:t>
      </w:r>
    </w:p>
    <w:p w14:paraId="0A685D34" w14:textId="7292CB27" w:rsidR="00691973" w:rsidRPr="00ED73A8" w:rsidRDefault="00691973" w:rsidP="00E560D1">
      <w:pPr>
        <w:pStyle w:val="NormalWeb"/>
        <w:spacing w:before="0" w:beforeAutospacing="0" w:after="0" w:afterAutospacing="0"/>
        <w:jc w:val="both"/>
        <w:textAlignment w:val="baseline"/>
        <w:rPr>
          <w:rFonts w:eastAsiaTheme="minorEastAsia"/>
          <w:sz w:val="21"/>
          <w:szCs w:val="21"/>
        </w:rPr>
      </w:pPr>
    </w:p>
    <w:p w14:paraId="68386CF2" w14:textId="211871C1" w:rsidR="00CD2853" w:rsidRPr="00ED73A8" w:rsidRDefault="007E2D9A" w:rsidP="00E560D1">
      <w:pPr>
        <w:pStyle w:val="NormalWeb"/>
        <w:spacing w:before="0" w:beforeAutospacing="0" w:after="0" w:afterAutospacing="0"/>
        <w:jc w:val="both"/>
        <w:textAlignment w:val="baseline"/>
        <w:rPr>
          <w:rFonts w:eastAsiaTheme="minorEastAsia"/>
          <w:color w:val="7030A0"/>
          <w:sz w:val="21"/>
          <w:szCs w:val="21"/>
        </w:rPr>
      </w:pPr>
      <w:r w:rsidRPr="00ED73A8">
        <w:rPr>
          <w:rFonts w:eastAsiaTheme="minorEastAsia"/>
          <w:sz w:val="21"/>
          <w:szCs w:val="21"/>
        </w:rPr>
        <w:t xml:space="preserve">After two years of </w:t>
      </w:r>
      <w:r w:rsidR="00615780" w:rsidRPr="00ED73A8">
        <w:rPr>
          <w:rFonts w:eastAsiaTheme="minorEastAsia"/>
          <w:sz w:val="21"/>
          <w:szCs w:val="21"/>
        </w:rPr>
        <w:t xml:space="preserve">enjoying </w:t>
      </w:r>
      <w:r w:rsidRPr="00ED73A8">
        <w:rPr>
          <w:rFonts w:eastAsiaTheme="minorEastAsia"/>
          <w:sz w:val="21"/>
          <w:szCs w:val="21"/>
        </w:rPr>
        <w:t>historically low rates, i</w:t>
      </w:r>
      <w:r w:rsidR="00CD2853" w:rsidRPr="00ED73A8">
        <w:rPr>
          <w:rFonts w:eastAsiaTheme="minorEastAsia"/>
          <w:sz w:val="21"/>
          <w:szCs w:val="21"/>
        </w:rPr>
        <w:t>n March</w:t>
      </w:r>
      <w:r w:rsidRPr="00ED73A8">
        <w:rPr>
          <w:rFonts w:eastAsiaTheme="minorEastAsia"/>
          <w:sz w:val="21"/>
          <w:szCs w:val="21"/>
        </w:rPr>
        <w:t xml:space="preserve"> </w:t>
      </w:r>
      <w:r w:rsidR="00CD2853" w:rsidRPr="00ED73A8">
        <w:rPr>
          <w:rFonts w:eastAsiaTheme="minorEastAsia"/>
          <w:sz w:val="21"/>
          <w:szCs w:val="21"/>
        </w:rPr>
        <w:t xml:space="preserve">2022, </w:t>
      </w:r>
      <w:r w:rsidRPr="00ED73A8">
        <w:rPr>
          <w:rFonts w:eastAsiaTheme="minorEastAsia"/>
          <w:sz w:val="21"/>
          <w:szCs w:val="21"/>
        </w:rPr>
        <w:t>the rate range was increased to</w:t>
      </w:r>
      <w:r w:rsidR="00CD2853" w:rsidRPr="00ED73A8">
        <w:rPr>
          <w:rFonts w:eastAsiaTheme="minorEastAsia"/>
          <w:sz w:val="21"/>
          <w:szCs w:val="21"/>
        </w:rPr>
        <w:t xml:space="preserve"> 0.25 – 0.50%. </w:t>
      </w:r>
      <w:r w:rsidRPr="00ED73A8">
        <w:rPr>
          <w:rFonts w:eastAsiaTheme="minorEastAsia"/>
          <w:sz w:val="21"/>
          <w:szCs w:val="21"/>
        </w:rPr>
        <w:t xml:space="preserve">While the rate range was still extremely low, this increase was the first of many as the </w:t>
      </w:r>
      <w:r w:rsidR="00CD2853" w:rsidRPr="00ED73A8">
        <w:rPr>
          <w:rFonts w:eastAsiaTheme="minorEastAsia"/>
          <w:sz w:val="21"/>
          <w:szCs w:val="21"/>
        </w:rPr>
        <w:t xml:space="preserve">Federal Reserve began </w:t>
      </w:r>
      <w:r w:rsidRPr="00ED73A8">
        <w:rPr>
          <w:rFonts w:eastAsiaTheme="minorEastAsia"/>
          <w:sz w:val="21"/>
          <w:szCs w:val="21"/>
        </w:rPr>
        <w:t>its campaign to fight high inflation.</w:t>
      </w:r>
      <w:r w:rsidR="00CD2853" w:rsidRPr="00ED73A8">
        <w:rPr>
          <w:rFonts w:eastAsiaTheme="minorEastAsia"/>
          <w:sz w:val="21"/>
          <w:szCs w:val="21"/>
        </w:rPr>
        <w:t xml:space="preserve"> </w:t>
      </w:r>
      <w:r w:rsidRPr="00ED73A8">
        <w:rPr>
          <w:rFonts w:eastAsiaTheme="minorEastAsia"/>
          <w:sz w:val="21"/>
          <w:szCs w:val="21"/>
        </w:rPr>
        <w:t xml:space="preserve">The Fed raised interest rates a total of eleven times, </w:t>
      </w:r>
      <w:r w:rsidR="00656911" w:rsidRPr="00ED73A8">
        <w:rPr>
          <w:rFonts w:eastAsiaTheme="minorEastAsia"/>
          <w:sz w:val="21"/>
          <w:szCs w:val="21"/>
        </w:rPr>
        <w:t>settling</w:t>
      </w:r>
      <w:r w:rsidRPr="00ED73A8">
        <w:rPr>
          <w:rFonts w:eastAsiaTheme="minorEastAsia"/>
          <w:sz w:val="21"/>
          <w:szCs w:val="21"/>
        </w:rPr>
        <w:t xml:space="preserve"> at 5.25 – 5.50% in July 2023</w:t>
      </w:r>
      <w:r w:rsidR="00656911" w:rsidRPr="00ED73A8">
        <w:rPr>
          <w:rFonts w:eastAsiaTheme="minorEastAsia"/>
          <w:sz w:val="21"/>
          <w:szCs w:val="21"/>
        </w:rPr>
        <w:t>.  They</w:t>
      </w:r>
      <w:r w:rsidRPr="00ED73A8">
        <w:rPr>
          <w:rFonts w:eastAsiaTheme="minorEastAsia"/>
          <w:sz w:val="21"/>
          <w:szCs w:val="21"/>
        </w:rPr>
        <w:t xml:space="preserve"> finally started to reverse direction on September 18, 2024, by lowering</w:t>
      </w:r>
      <w:r w:rsidR="00656911" w:rsidRPr="00ED73A8">
        <w:rPr>
          <w:rFonts w:eastAsiaTheme="minorEastAsia"/>
          <w:sz w:val="21"/>
          <w:szCs w:val="21"/>
        </w:rPr>
        <w:t xml:space="preserve"> rates</w:t>
      </w:r>
      <w:r w:rsidRPr="00ED73A8">
        <w:rPr>
          <w:rFonts w:eastAsiaTheme="minorEastAsia"/>
          <w:sz w:val="21"/>
          <w:szCs w:val="21"/>
        </w:rPr>
        <w:t xml:space="preserve"> to 4.7</w:t>
      </w:r>
      <w:r w:rsidR="00E8658C" w:rsidRPr="00ED73A8">
        <w:rPr>
          <w:rFonts w:eastAsiaTheme="minorEastAsia"/>
          <w:sz w:val="21"/>
          <w:szCs w:val="21"/>
        </w:rPr>
        <w:t>5</w:t>
      </w:r>
      <w:r w:rsidRPr="00ED73A8">
        <w:rPr>
          <w:rFonts w:eastAsiaTheme="minorEastAsia"/>
          <w:sz w:val="21"/>
          <w:szCs w:val="21"/>
        </w:rPr>
        <w:t xml:space="preserve"> – 5.00%.</w:t>
      </w:r>
      <w:r w:rsidR="003B25ED" w:rsidRPr="00ED73A8">
        <w:rPr>
          <w:rFonts w:eastAsiaTheme="minorEastAsia"/>
          <w:sz w:val="21"/>
          <w:szCs w:val="21"/>
        </w:rPr>
        <w:t xml:space="preserve"> This </w:t>
      </w:r>
      <w:r w:rsidR="00F85788" w:rsidRPr="00ED73A8">
        <w:rPr>
          <w:rFonts w:eastAsiaTheme="minorEastAsia"/>
          <w:sz w:val="21"/>
          <w:szCs w:val="21"/>
        </w:rPr>
        <w:t xml:space="preserve">much-awaited cut </w:t>
      </w:r>
      <w:r w:rsidR="003B25ED" w:rsidRPr="00ED73A8">
        <w:rPr>
          <w:rFonts w:eastAsiaTheme="minorEastAsia"/>
          <w:sz w:val="21"/>
          <w:szCs w:val="21"/>
        </w:rPr>
        <w:t>is the first rate cut since the onset of the pandemic and ended the 23-year high for interest rates.</w:t>
      </w:r>
    </w:p>
    <w:p w14:paraId="17CA70D0" w14:textId="527D336F" w:rsidR="00CE04CF" w:rsidRPr="00ED73A8" w:rsidRDefault="00CE04CF" w:rsidP="00E560D1">
      <w:pPr>
        <w:pStyle w:val="NormalWeb"/>
        <w:spacing w:before="0" w:beforeAutospacing="0" w:after="0" w:afterAutospacing="0"/>
        <w:jc w:val="both"/>
        <w:textAlignment w:val="baseline"/>
        <w:rPr>
          <w:rFonts w:eastAsiaTheme="minorEastAsia"/>
          <w:sz w:val="21"/>
          <w:szCs w:val="21"/>
        </w:rPr>
      </w:pPr>
    </w:p>
    <w:p w14:paraId="10AA5030" w14:textId="4848CE4A" w:rsidR="00CE04CF" w:rsidRPr="00ED73A8" w:rsidRDefault="00CE04CF" w:rsidP="00E560D1">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 xml:space="preserve">While inflation is still higher than the Fed’s goal of 2.0%, the Fed felt it </w:t>
      </w:r>
      <w:r w:rsidR="00021206" w:rsidRPr="00ED73A8">
        <w:rPr>
          <w:rFonts w:eastAsiaTheme="minorEastAsia"/>
          <w:sz w:val="21"/>
          <w:szCs w:val="21"/>
        </w:rPr>
        <w:t>appropriate to start cutting borrowing costs because the labor market</w:t>
      </w:r>
      <w:r w:rsidR="00615780" w:rsidRPr="00ED73A8">
        <w:rPr>
          <w:rFonts w:eastAsiaTheme="minorEastAsia"/>
          <w:sz w:val="21"/>
          <w:szCs w:val="21"/>
        </w:rPr>
        <w:t>, while still strong,</w:t>
      </w:r>
      <w:r w:rsidR="00021206" w:rsidRPr="00ED73A8">
        <w:rPr>
          <w:rFonts w:eastAsiaTheme="minorEastAsia"/>
          <w:sz w:val="21"/>
          <w:szCs w:val="21"/>
        </w:rPr>
        <w:t xml:space="preserve"> was </w:t>
      </w:r>
      <w:r w:rsidR="00615780" w:rsidRPr="00ED73A8">
        <w:rPr>
          <w:rFonts w:eastAsiaTheme="minorEastAsia"/>
          <w:sz w:val="21"/>
          <w:szCs w:val="21"/>
        </w:rPr>
        <w:t>beginning to show</w:t>
      </w:r>
      <w:r w:rsidRPr="00ED73A8">
        <w:rPr>
          <w:rFonts w:eastAsiaTheme="minorEastAsia"/>
          <w:sz w:val="21"/>
          <w:szCs w:val="21"/>
        </w:rPr>
        <w:t xml:space="preserve"> signs of weakening.</w:t>
      </w:r>
      <w:r w:rsidR="00BB76D5">
        <w:rPr>
          <w:rFonts w:eastAsiaTheme="minorEastAsia"/>
          <w:sz w:val="21"/>
          <w:szCs w:val="21"/>
        </w:rPr>
        <w:t xml:space="preserve"> </w:t>
      </w:r>
      <w:r w:rsidRPr="00ED73A8">
        <w:rPr>
          <w:rFonts w:eastAsiaTheme="minorEastAsia"/>
          <w:sz w:val="21"/>
          <w:szCs w:val="21"/>
        </w:rPr>
        <w:t xml:space="preserve">The stock market responded very favorably to this rate cut. </w:t>
      </w:r>
      <w:r w:rsidR="003B25ED" w:rsidRPr="00ED73A8">
        <w:rPr>
          <w:rFonts w:eastAsiaTheme="minorEastAsia"/>
          <w:sz w:val="21"/>
          <w:szCs w:val="21"/>
        </w:rPr>
        <w:t xml:space="preserve">The DJIA reached a new record as it closed 1.3% higher and breached 42,000 for the first time. The S&amp;P 500 rose 1.7%, also setting a new record, closing at over 5,700. </w:t>
      </w:r>
      <w:r w:rsidR="003B25ED" w:rsidRPr="00ED73A8">
        <w:rPr>
          <w:rFonts w:eastAsiaTheme="minorEastAsia"/>
          <w:i/>
          <w:iCs/>
          <w:sz w:val="18"/>
          <w:szCs w:val="18"/>
        </w:rPr>
        <w:t>(Source: cnn.com; 9/20/24)</w:t>
      </w:r>
    </w:p>
    <w:p w14:paraId="3D4F9D69" w14:textId="45F61B42" w:rsidR="00B524BA" w:rsidRPr="00ED73A8" w:rsidRDefault="00B524BA" w:rsidP="00E560D1">
      <w:pPr>
        <w:pStyle w:val="NormalWeb"/>
        <w:spacing w:before="0" w:beforeAutospacing="0" w:after="0" w:afterAutospacing="0"/>
        <w:jc w:val="both"/>
        <w:textAlignment w:val="baseline"/>
        <w:rPr>
          <w:rFonts w:eastAsiaTheme="minorEastAsia"/>
          <w:sz w:val="21"/>
          <w:szCs w:val="21"/>
        </w:rPr>
      </w:pPr>
      <w:bookmarkStart w:id="9" w:name="_Hlk171586565"/>
    </w:p>
    <w:p w14:paraId="222AD90F" w14:textId="5EAC6BB3" w:rsidR="000F563D" w:rsidRPr="00ED73A8" w:rsidRDefault="00E82267" w:rsidP="00E560D1">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 xml:space="preserve">In </w:t>
      </w:r>
      <w:r w:rsidR="00CE04CF" w:rsidRPr="00ED73A8">
        <w:rPr>
          <w:rFonts w:eastAsiaTheme="minorEastAsia"/>
          <w:sz w:val="21"/>
          <w:szCs w:val="21"/>
        </w:rPr>
        <w:t>August</w:t>
      </w:r>
      <w:r w:rsidR="00390C28" w:rsidRPr="00ED73A8">
        <w:rPr>
          <w:rFonts w:eastAsiaTheme="minorEastAsia"/>
          <w:sz w:val="21"/>
          <w:szCs w:val="21"/>
        </w:rPr>
        <w:t xml:space="preserve">, the </w:t>
      </w:r>
      <w:r w:rsidR="000F563D" w:rsidRPr="00ED73A8">
        <w:rPr>
          <w:rFonts w:eastAsiaTheme="minorEastAsia"/>
          <w:sz w:val="21"/>
          <w:szCs w:val="21"/>
        </w:rPr>
        <w:t>year-over-year Consumer Price Index (</w:t>
      </w:r>
      <w:r w:rsidR="00390C28" w:rsidRPr="00ED73A8">
        <w:rPr>
          <w:rFonts w:eastAsiaTheme="minorEastAsia"/>
          <w:sz w:val="21"/>
          <w:szCs w:val="21"/>
        </w:rPr>
        <w:t>CPI</w:t>
      </w:r>
      <w:r w:rsidR="000F563D" w:rsidRPr="00ED73A8">
        <w:rPr>
          <w:rFonts w:eastAsiaTheme="minorEastAsia"/>
          <w:sz w:val="21"/>
          <w:szCs w:val="21"/>
        </w:rPr>
        <w:t>)</w:t>
      </w:r>
      <w:r w:rsidR="00390C28" w:rsidRPr="00ED73A8">
        <w:rPr>
          <w:rFonts w:eastAsiaTheme="minorEastAsia"/>
          <w:sz w:val="21"/>
          <w:szCs w:val="21"/>
        </w:rPr>
        <w:t xml:space="preserve"> was </w:t>
      </w:r>
      <w:r w:rsidR="000F563D" w:rsidRPr="00ED73A8">
        <w:rPr>
          <w:rFonts w:eastAsiaTheme="minorEastAsia"/>
          <w:sz w:val="21"/>
          <w:szCs w:val="21"/>
        </w:rPr>
        <w:t>2.5</w:t>
      </w:r>
      <w:r w:rsidR="00390C28" w:rsidRPr="00ED73A8">
        <w:rPr>
          <w:rFonts w:eastAsiaTheme="minorEastAsia"/>
          <w:sz w:val="21"/>
          <w:szCs w:val="21"/>
        </w:rPr>
        <w:t>%</w:t>
      </w:r>
      <w:r w:rsidR="000F563D" w:rsidRPr="00ED73A8">
        <w:rPr>
          <w:rFonts w:eastAsiaTheme="minorEastAsia"/>
          <w:sz w:val="21"/>
          <w:szCs w:val="21"/>
        </w:rPr>
        <w:t xml:space="preserve">. This is the lowest </w:t>
      </w:r>
      <w:r w:rsidR="00CF1D07" w:rsidRPr="00ED73A8">
        <w:rPr>
          <w:rFonts w:eastAsiaTheme="minorEastAsia"/>
          <w:sz w:val="21"/>
          <w:szCs w:val="21"/>
        </w:rPr>
        <w:t>annual increase</w:t>
      </w:r>
      <w:r w:rsidR="000F563D" w:rsidRPr="00ED73A8">
        <w:rPr>
          <w:rFonts w:eastAsiaTheme="minorEastAsia"/>
          <w:sz w:val="21"/>
          <w:szCs w:val="21"/>
        </w:rPr>
        <w:t xml:space="preserve"> since February 2021</w:t>
      </w:r>
      <w:r w:rsidR="00021206" w:rsidRPr="00ED73A8">
        <w:rPr>
          <w:rFonts w:eastAsiaTheme="minorEastAsia"/>
          <w:sz w:val="21"/>
          <w:szCs w:val="21"/>
        </w:rPr>
        <w:t>, suggesting</w:t>
      </w:r>
      <w:r w:rsidR="00CF1D07" w:rsidRPr="00ED73A8">
        <w:rPr>
          <w:rFonts w:eastAsiaTheme="minorEastAsia"/>
          <w:sz w:val="21"/>
          <w:szCs w:val="21"/>
        </w:rPr>
        <w:t xml:space="preserve"> that the Fed’s coveted 2% rate could be in the near future.</w:t>
      </w:r>
    </w:p>
    <w:bookmarkEnd w:id="9"/>
    <w:p w14:paraId="683821D4" w14:textId="683F942A" w:rsidR="000F563D" w:rsidRPr="00ED73A8" w:rsidRDefault="000F563D" w:rsidP="00E560D1">
      <w:pPr>
        <w:pStyle w:val="NormalWeb"/>
        <w:spacing w:before="0" w:beforeAutospacing="0" w:after="0" w:afterAutospacing="0"/>
        <w:jc w:val="both"/>
        <w:textAlignment w:val="baseline"/>
        <w:rPr>
          <w:rFonts w:eastAsiaTheme="minorEastAsia"/>
          <w:sz w:val="21"/>
          <w:szCs w:val="21"/>
        </w:rPr>
      </w:pPr>
    </w:p>
    <w:p w14:paraId="14BF70FF" w14:textId="287B159E" w:rsidR="003B25ED" w:rsidRPr="00ED73A8" w:rsidRDefault="008073B7" w:rsidP="00E560D1">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Starting</w:t>
      </w:r>
      <w:r w:rsidR="00E560D1" w:rsidRPr="00ED73A8">
        <w:rPr>
          <w:rFonts w:eastAsiaTheme="minorEastAsia"/>
          <w:sz w:val="21"/>
          <w:szCs w:val="21"/>
        </w:rPr>
        <w:t xml:space="preserve"> the year, it was anticipated that we could see three rate cuts in 2024</w:t>
      </w:r>
      <w:r w:rsidR="00353D27" w:rsidRPr="00ED73A8">
        <w:rPr>
          <w:rFonts w:eastAsiaTheme="minorEastAsia"/>
          <w:sz w:val="21"/>
          <w:szCs w:val="21"/>
        </w:rPr>
        <w:t xml:space="preserve">. As of </w:t>
      </w:r>
      <w:r w:rsidR="003A6FFA" w:rsidRPr="00ED73A8">
        <w:rPr>
          <w:rFonts w:eastAsiaTheme="minorEastAsia"/>
          <w:sz w:val="21"/>
          <w:szCs w:val="21"/>
        </w:rPr>
        <w:t>the third quarter</w:t>
      </w:r>
      <w:r w:rsidR="00353D27" w:rsidRPr="00ED73A8">
        <w:rPr>
          <w:rFonts w:eastAsiaTheme="minorEastAsia"/>
          <w:sz w:val="21"/>
          <w:szCs w:val="21"/>
        </w:rPr>
        <w:t xml:space="preserve">, we have only seen one rate cut. There are two more scheduled FOMC meetings in 2024. </w:t>
      </w:r>
      <w:r w:rsidR="001B397F" w:rsidRPr="00ED73A8">
        <w:rPr>
          <w:rFonts w:eastAsiaTheme="minorEastAsia"/>
          <w:sz w:val="21"/>
          <w:szCs w:val="21"/>
        </w:rPr>
        <w:t xml:space="preserve">The Fed’s economic forecast, released at the September FOMC meeting, suggested </w:t>
      </w:r>
      <w:r w:rsidR="003A6FFA" w:rsidRPr="00ED73A8">
        <w:rPr>
          <w:rFonts w:eastAsiaTheme="minorEastAsia"/>
          <w:sz w:val="21"/>
          <w:szCs w:val="21"/>
        </w:rPr>
        <w:t>additional</w:t>
      </w:r>
      <w:r w:rsidR="001B397F" w:rsidRPr="00ED73A8">
        <w:rPr>
          <w:rFonts w:eastAsiaTheme="minorEastAsia"/>
          <w:sz w:val="21"/>
          <w:szCs w:val="21"/>
        </w:rPr>
        <w:t xml:space="preserve"> rate cuts this year</w:t>
      </w:r>
      <w:r w:rsidR="0070779A" w:rsidRPr="00ED73A8">
        <w:rPr>
          <w:rFonts w:eastAsiaTheme="minorEastAsia"/>
          <w:sz w:val="21"/>
          <w:szCs w:val="21"/>
        </w:rPr>
        <w:t>.</w:t>
      </w:r>
      <w:r w:rsidR="001B397F" w:rsidRPr="00ED73A8">
        <w:rPr>
          <w:rFonts w:eastAsiaTheme="minorEastAsia"/>
          <w:sz w:val="21"/>
          <w:szCs w:val="21"/>
        </w:rPr>
        <w:t xml:space="preserve"> </w:t>
      </w:r>
    </w:p>
    <w:p w14:paraId="7033E084" w14:textId="79936523" w:rsidR="0063542A" w:rsidRPr="00ED73A8" w:rsidRDefault="0063542A" w:rsidP="00427EFA">
      <w:pPr>
        <w:pStyle w:val="NormalWeb"/>
        <w:spacing w:before="0" w:beforeAutospacing="0" w:after="0" w:afterAutospacing="0"/>
        <w:jc w:val="both"/>
        <w:textAlignment w:val="baseline"/>
        <w:rPr>
          <w:rFonts w:eastAsiaTheme="minorHAnsi"/>
          <w:sz w:val="21"/>
          <w:szCs w:val="21"/>
        </w:rPr>
      </w:pPr>
    </w:p>
    <w:p w14:paraId="1F8DAD37" w14:textId="7688B500" w:rsidR="00F019DB" w:rsidRDefault="00503AA9" w:rsidP="005E0B97">
      <w:pPr>
        <w:pStyle w:val="NormalWeb"/>
        <w:spacing w:before="0" w:beforeAutospacing="0" w:after="0" w:afterAutospacing="0"/>
        <w:jc w:val="both"/>
        <w:textAlignment w:val="baseline"/>
        <w:rPr>
          <w:rFonts w:eastAsiaTheme="minorHAnsi"/>
          <w:b/>
          <w:bCs/>
          <w:sz w:val="21"/>
          <w:szCs w:val="21"/>
        </w:rPr>
      </w:pPr>
      <w:r w:rsidRPr="00FC2FB6">
        <w:rPr>
          <w:rFonts w:eastAsiaTheme="minorEastAsia"/>
          <w:noProof/>
        </w:rPr>
        <w:lastRenderedPageBreak/>
        <w:drawing>
          <wp:anchor distT="91440" distB="91440" distL="114300" distR="114300" simplePos="0" relativeHeight="251988992" behindDoc="0" locked="0" layoutInCell="1" allowOverlap="1" wp14:anchorId="59F564A9" wp14:editId="2275FAB3">
            <wp:simplePos x="0" y="0"/>
            <wp:positionH relativeFrom="margin">
              <wp:posOffset>3343275</wp:posOffset>
            </wp:positionH>
            <wp:positionV relativeFrom="paragraph">
              <wp:posOffset>38100</wp:posOffset>
            </wp:positionV>
            <wp:extent cx="3112135" cy="4076700"/>
            <wp:effectExtent l="38100" t="38100" r="31115" b="38100"/>
            <wp:wrapSquare wrapText="bothSides"/>
            <wp:docPr id="397876182" name="Picture 1" descr="A table with numbers and a few mont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6182" name="Picture 1" descr="A table with numbers and a few month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3112135" cy="4076700"/>
                    </a:xfrm>
                    <a:prstGeom prst="rect">
                      <a:avLst/>
                    </a:prstGeom>
                    <a:ln w="28575">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3E1B41" w:rsidRPr="00ED73A8">
        <w:rPr>
          <w:rFonts w:eastAsiaTheme="minorEastAsia"/>
          <w:b/>
          <w:bCs/>
          <w:sz w:val="21"/>
          <w:szCs w:val="21"/>
        </w:rPr>
        <w:t>I</w:t>
      </w:r>
      <w:r w:rsidR="001E5F90" w:rsidRPr="00ED73A8">
        <w:rPr>
          <w:rFonts w:eastAsiaTheme="minorEastAsia"/>
          <w:b/>
          <w:bCs/>
          <w:sz w:val="21"/>
          <w:szCs w:val="21"/>
        </w:rPr>
        <w:t xml:space="preserve">nterest rates and inflation </w:t>
      </w:r>
      <w:r w:rsidR="003E1B41" w:rsidRPr="00ED73A8">
        <w:rPr>
          <w:rFonts w:eastAsiaTheme="minorEastAsia"/>
          <w:b/>
          <w:bCs/>
          <w:sz w:val="21"/>
          <w:szCs w:val="21"/>
        </w:rPr>
        <w:t>are</w:t>
      </w:r>
      <w:r w:rsidR="001E5F90" w:rsidRPr="00ED73A8">
        <w:rPr>
          <w:rFonts w:eastAsiaTheme="minorEastAsia"/>
          <w:b/>
          <w:bCs/>
          <w:sz w:val="21"/>
          <w:szCs w:val="21"/>
        </w:rPr>
        <w:t xml:space="preserve"> integral to </w:t>
      </w:r>
      <w:r w:rsidR="00353D27" w:rsidRPr="00ED73A8">
        <w:rPr>
          <w:rFonts w:eastAsiaTheme="minorEastAsia"/>
          <w:b/>
          <w:bCs/>
          <w:sz w:val="21"/>
          <w:szCs w:val="21"/>
        </w:rPr>
        <w:t>investors'</w:t>
      </w:r>
      <w:r w:rsidR="00D553A0" w:rsidRPr="00ED73A8">
        <w:rPr>
          <w:rFonts w:eastAsiaTheme="minorEastAsia"/>
          <w:b/>
          <w:bCs/>
          <w:sz w:val="21"/>
          <w:szCs w:val="21"/>
        </w:rPr>
        <w:t xml:space="preserve"> </w:t>
      </w:r>
      <w:r w:rsidR="001E5F90" w:rsidRPr="00ED73A8">
        <w:rPr>
          <w:rFonts w:eastAsiaTheme="minorEastAsia"/>
          <w:b/>
          <w:bCs/>
          <w:sz w:val="21"/>
          <w:szCs w:val="21"/>
        </w:rPr>
        <w:t>financial planning</w:t>
      </w:r>
      <w:r w:rsidR="00D553A0" w:rsidRPr="00ED73A8">
        <w:rPr>
          <w:rFonts w:eastAsiaTheme="minorEastAsia"/>
          <w:b/>
          <w:bCs/>
          <w:sz w:val="21"/>
          <w:szCs w:val="21"/>
        </w:rPr>
        <w:t xml:space="preserve">, so we </w:t>
      </w:r>
      <w:r w:rsidR="003E1B41" w:rsidRPr="00ED73A8">
        <w:rPr>
          <w:rFonts w:eastAsiaTheme="minorEastAsia"/>
          <w:b/>
          <w:bCs/>
          <w:sz w:val="21"/>
          <w:szCs w:val="21"/>
        </w:rPr>
        <w:t xml:space="preserve">will continue to </w:t>
      </w:r>
      <w:r w:rsidR="00D31282" w:rsidRPr="00ED73A8">
        <w:rPr>
          <w:rFonts w:eastAsiaTheme="minorEastAsia"/>
          <w:b/>
          <w:bCs/>
          <w:sz w:val="21"/>
          <w:szCs w:val="21"/>
        </w:rPr>
        <w:t>monitor</w:t>
      </w:r>
      <w:r w:rsidR="003E1B41" w:rsidRPr="00ED73A8">
        <w:rPr>
          <w:rFonts w:eastAsiaTheme="minorHAnsi"/>
          <w:b/>
          <w:bCs/>
          <w:sz w:val="21"/>
          <w:szCs w:val="21"/>
        </w:rPr>
        <w:t xml:space="preserve"> </w:t>
      </w:r>
      <w:r w:rsidR="00F40E27" w:rsidRPr="00ED73A8">
        <w:rPr>
          <w:rFonts w:eastAsiaTheme="minorHAnsi"/>
          <w:b/>
          <w:bCs/>
          <w:sz w:val="21"/>
          <w:szCs w:val="21"/>
        </w:rPr>
        <w:t>any</w:t>
      </w:r>
      <w:r w:rsidR="003E1B41" w:rsidRPr="00ED73A8">
        <w:rPr>
          <w:rFonts w:eastAsiaTheme="minorHAnsi"/>
          <w:b/>
          <w:bCs/>
          <w:sz w:val="21"/>
          <w:szCs w:val="21"/>
        </w:rPr>
        <w:t xml:space="preserve"> movements</w:t>
      </w:r>
      <w:r w:rsidR="00A60B3A" w:rsidRPr="00ED73A8">
        <w:rPr>
          <w:rFonts w:eastAsiaTheme="minorHAnsi"/>
          <w:b/>
          <w:bCs/>
          <w:sz w:val="21"/>
          <w:szCs w:val="21"/>
        </w:rPr>
        <w:t xml:space="preserve"> and stay apprised of key economic indicators.</w:t>
      </w:r>
      <w:r w:rsidR="003E1B41" w:rsidRPr="00ED73A8">
        <w:rPr>
          <w:rFonts w:eastAsiaTheme="minorHAnsi"/>
          <w:b/>
          <w:bCs/>
          <w:sz w:val="21"/>
          <w:szCs w:val="21"/>
        </w:rPr>
        <w:t xml:space="preserve"> </w:t>
      </w:r>
    </w:p>
    <w:p w14:paraId="0B757A9D" w14:textId="4DEA79B0" w:rsidR="00847DE2" w:rsidRPr="00ED73A8" w:rsidRDefault="00847DE2" w:rsidP="005E0B97">
      <w:pPr>
        <w:pStyle w:val="NormalWeb"/>
        <w:spacing w:before="0" w:beforeAutospacing="0" w:after="0" w:afterAutospacing="0"/>
        <w:jc w:val="both"/>
        <w:textAlignment w:val="baseline"/>
        <w:rPr>
          <w:rFonts w:eastAsiaTheme="minorHAnsi"/>
          <w:b/>
          <w:bCs/>
          <w:sz w:val="21"/>
          <w:szCs w:val="21"/>
        </w:rPr>
      </w:pPr>
    </w:p>
    <w:p w14:paraId="59355D50" w14:textId="59C46625" w:rsidR="000044FA" w:rsidRPr="00ED73A8" w:rsidRDefault="000044FA" w:rsidP="000044FA">
      <w:pPr>
        <w:shd w:val="clear" w:color="auto" w:fill="BDD6EE" w:themeFill="accent5" w:themeFillTint="66"/>
        <w:spacing w:line="240" w:lineRule="auto"/>
        <w:jc w:val="center"/>
        <w:rPr>
          <w:rFonts w:cstheme="minorHAnsi"/>
          <w:b/>
          <w:bCs/>
          <w:sz w:val="28"/>
          <w:szCs w:val="28"/>
        </w:rPr>
      </w:pPr>
      <w:r w:rsidRPr="00ED73A8">
        <w:rPr>
          <w:rFonts w:cstheme="minorHAnsi"/>
          <w:b/>
          <w:bCs/>
          <w:sz w:val="28"/>
          <w:szCs w:val="28"/>
        </w:rPr>
        <w:t>The Bond Market and Treasury Yields</w:t>
      </w:r>
    </w:p>
    <w:p w14:paraId="11E712C8" w14:textId="7C066029" w:rsidR="00E530A1" w:rsidRPr="00ED73A8" w:rsidRDefault="00137FF0" w:rsidP="00E530A1">
      <w:pPr>
        <w:pStyle w:val="NormalWeb"/>
        <w:spacing w:before="0" w:beforeAutospacing="0" w:after="0" w:afterAutospacing="0"/>
        <w:jc w:val="both"/>
        <w:textAlignment w:val="baseline"/>
        <w:rPr>
          <w:color w:val="7030A0"/>
          <w:sz w:val="21"/>
          <w:szCs w:val="21"/>
        </w:rPr>
      </w:pPr>
      <w:r w:rsidRPr="00FC6A1E">
        <w:rPr>
          <w:rFonts w:eastAsiaTheme="minorHAnsi"/>
          <w:sz w:val="10"/>
          <w:szCs w:val="10"/>
        </w:rPr>
        <w:br/>
      </w:r>
      <w:r w:rsidR="00E530A1" w:rsidRPr="00ED73A8">
        <w:rPr>
          <w:rFonts w:eastAsiaTheme="minorHAnsi"/>
          <w:sz w:val="21"/>
          <w:szCs w:val="21"/>
        </w:rPr>
        <w:t xml:space="preserve">With more interest rate cuts forecast, what does this mean for bond investors? The window of opportunity </w:t>
      </w:r>
      <w:r w:rsidR="00847DE2">
        <w:rPr>
          <w:rFonts w:eastAsiaTheme="minorHAnsi"/>
          <w:sz w:val="21"/>
          <w:szCs w:val="21"/>
        </w:rPr>
        <w:t>t</w:t>
      </w:r>
      <w:r w:rsidR="00E530A1" w:rsidRPr="00ED73A8">
        <w:rPr>
          <w:rFonts w:eastAsiaTheme="minorHAnsi"/>
          <w:sz w:val="21"/>
          <w:szCs w:val="21"/>
        </w:rPr>
        <w:t xml:space="preserve">o </w:t>
      </w:r>
      <w:r w:rsidR="00847DE2">
        <w:rPr>
          <w:rFonts w:eastAsiaTheme="minorHAnsi"/>
          <w:sz w:val="21"/>
          <w:szCs w:val="21"/>
        </w:rPr>
        <w:t>o</w:t>
      </w:r>
      <w:r w:rsidR="00E530A1" w:rsidRPr="00ED73A8">
        <w:rPr>
          <w:rFonts w:eastAsiaTheme="minorHAnsi"/>
          <w:sz w:val="21"/>
          <w:szCs w:val="21"/>
        </w:rPr>
        <w:t>b</w:t>
      </w:r>
      <w:r w:rsidR="00847DE2">
        <w:rPr>
          <w:rFonts w:eastAsiaTheme="minorHAnsi"/>
          <w:sz w:val="21"/>
          <w:szCs w:val="21"/>
        </w:rPr>
        <w:t>t</w:t>
      </w:r>
      <w:r w:rsidR="00E530A1" w:rsidRPr="00ED73A8">
        <w:rPr>
          <w:rFonts w:eastAsiaTheme="minorHAnsi"/>
          <w:sz w:val="21"/>
          <w:szCs w:val="21"/>
        </w:rPr>
        <w:t>ain a lower-risk, higher-yielding bond</w:t>
      </w:r>
      <w:r w:rsidR="00847DE2">
        <w:rPr>
          <w:rFonts w:eastAsiaTheme="minorHAnsi"/>
          <w:sz w:val="21"/>
          <w:szCs w:val="21"/>
        </w:rPr>
        <w:t xml:space="preserve"> could be narrowing quickly</w:t>
      </w:r>
      <w:r w:rsidR="00E530A1" w:rsidRPr="00ED73A8">
        <w:rPr>
          <w:rFonts w:eastAsiaTheme="minorHAnsi"/>
          <w:sz w:val="21"/>
          <w:szCs w:val="21"/>
        </w:rPr>
        <w:t xml:space="preserve">. </w:t>
      </w:r>
    </w:p>
    <w:p w14:paraId="53767252" w14:textId="1FF6B292" w:rsidR="00E530A1" w:rsidRPr="00ED73A8" w:rsidRDefault="00E530A1" w:rsidP="004E2125">
      <w:pPr>
        <w:pStyle w:val="NormalWeb"/>
        <w:spacing w:before="0" w:beforeAutospacing="0" w:after="0" w:afterAutospacing="0"/>
        <w:jc w:val="both"/>
        <w:textAlignment w:val="baseline"/>
        <w:rPr>
          <w:rFonts w:eastAsiaTheme="minorHAnsi"/>
          <w:sz w:val="21"/>
          <w:szCs w:val="21"/>
        </w:rPr>
      </w:pPr>
    </w:p>
    <w:p w14:paraId="6E8A3D72" w14:textId="6A43457D" w:rsidR="00E530A1" w:rsidRPr="00ED73A8" w:rsidRDefault="00E530A1" w:rsidP="004E2125">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 xml:space="preserve">U.S. Treasury yields have shown a downward trend. The yield on the 10-year treasury note decreased, dropping from </w:t>
      </w:r>
      <w:r w:rsidR="005F5B67" w:rsidRPr="00ED73A8">
        <w:rPr>
          <w:rFonts w:eastAsiaTheme="minorHAnsi"/>
          <w:sz w:val="21"/>
          <w:szCs w:val="21"/>
        </w:rPr>
        <w:t>4.48</w:t>
      </w:r>
      <w:r w:rsidRPr="00ED73A8">
        <w:rPr>
          <w:rFonts w:eastAsiaTheme="minorHAnsi"/>
          <w:sz w:val="21"/>
          <w:szCs w:val="21"/>
        </w:rPr>
        <w:t xml:space="preserve">% </w:t>
      </w:r>
      <w:r w:rsidR="005F5B67" w:rsidRPr="00ED73A8">
        <w:rPr>
          <w:rFonts w:eastAsiaTheme="minorHAnsi"/>
          <w:sz w:val="21"/>
          <w:szCs w:val="21"/>
        </w:rPr>
        <w:t>at the beginning of the quarter</w:t>
      </w:r>
      <w:r w:rsidRPr="00ED73A8">
        <w:rPr>
          <w:rFonts w:eastAsiaTheme="minorHAnsi"/>
          <w:sz w:val="21"/>
          <w:szCs w:val="21"/>
        </w:rPr>
        <w:t xml:space="preserve"> </w:t>
      </w:r>
      <w:r w:rsidR="005F5B67" w:rsidRPr="00ED73A8">
        <w:rPr>
          <w:rFonts w:eastAsiaTheme="minorHAnsi"/>
          <w:sz w:val="21"/>
          <w:szCs w:val="21"/>
        </w:rPr>
        <w:t xml:space="preserve">to </w:t>
      </w:r>
      <w:r w:rsidRPr="00ED73A8">
        <w:rPr>
          <w:rFonts w:eastAsiaTheme="minorHAnsi"/>
          <w:sz w:val="21"/>
          <w:szCs w:val="21"/>
        </w:rPr>
        <w:t>3.</w:t>
      </w:r>
      <w:r w:rsidR="005F5B67" w:rsidRPr="00ED73A8">
        <w:rPr>
          <w:rFonts w:eastAsiaTheme="minorHAnsi"/>
          <w:sz w:val="21"/>
          <w:szCs w:val="21"/>
        </w:rPr>
        <w:t>81</w:t>
      </w:r>
      <w:r w:rsidRPr="00ED73A8">
        <w:rPr>
          <w:rFonts w:eastAsiaTheme="minorHAnsi"/>
          <w:sz w:val="21"/>
          <w:szCs w:val="21"/>
        </w:rPr>
        <w:t>%</w:t>
      </w:r>
      <w:r w:rsidR="005F5B67" w:rsidRPr="00ED73A8">
        <w:rPr>
          <w:rFonts w:eastAsiaTheme="minorHAnsi"/>
          <w:sz w:val="21"/>
          <w:szCs w:val="21"/>
        </w:rPr>
        <w:t xml:space="preserve"> on September 30</w:t>
      </w:r>
      <w:r w:rsidRPr="00ED73A8">
        <w:rPr>
          <w:rFonts w:eastAsiaTheme="minorHAnsi"/>
          <w:sz w:val="21"/>
          <w:szCs w:val="21"/>
        </w:rPr>
        <w:t>. The shorter-term yields, such as the 2-year note, have also declined, signaling changing expectations regarding interest rates.</w:t>
      </w:r>
    </w:p>
    <w:p w14:paraId="7FBBAD27" w14:textId="554119B8" w:rsidR="001E5068" w:rsidRPr="00ED73A8" w:rsidRDefault="001E5068" w:rsidP="004E2125">
      <w:pPr>
        <w:pStyle w:val="NormalWeb"/>
        <w:spacing w:before="0" w:beforeAutospacing="0" w:after="0" w:afterAutospacing="0"/>
        <w:jc w:val="both"/>
        <w:textAlignment w:val="baseline"/>
        <w:rPr>
          <w:rFonts w:eastAsiaTheme="minorHAnsi"/>
          <w:sz w:val="21"/>
          <w:szCs w:val="21"/>
        </w:rPr>
      </w:pPr>
    </w:p>
    <w:p w14:paraId="13CABEBC" w14:textId="29EB036E" w:rsidR="002C6D0A" w:rsidRPr="00ED73A8" w:rsidRDefault="00E530A1" w:rsidP="009E1E37">
      <w:pPr>
        <w:pStyle w:val="NormalWeb"/>
        <w:spacing w:before="0" w:beforeAutospacing="0" w:after="0" w:afterAutospacing="0"/>
        <w:jc w:val="both"/>
        <w:textAlignment w:val="baseline"/>
        <w:rPr>
          <w:rFonts w:eastAsiaTheme="minorHAnsi"/>
          <w:sz w:val="21"/>
          <w:szCs w:val="21"/>
        </w:rPr>
      </w:pPr>
      <w:r w:rsidRPr="00ED73A8">
        <w:rPr>
          <w:rFonts w:eastAsiaTheme="minorHAnsi"/>
          <w:sz w:val="21"/>
          <w:szCs w:val="21"/>
        </w:rPr>
        <w:t>The decline in yields suggests that investors are seeking safer assets amid economic uncertainty, as well as a potential easing of the Federal Reserve’s monetary policy.</w:t>
      </w:r>
      <w:r w:rsidR="005F5B67" w:rsidRPr="00ED73A8">
        <w:rPr>
          <w:rFonts w:eastAsiaTheme="minorHAnsi"/>
          <w:sz w:val="21"/>
          <w:szCs w:val="21"/>
        </w:rPr>
        <w:t xml:space="preserve"> </w:t>
      </w:r>
    </w:p>
    <w:p w14:paraId="7110AA59" w14:textId="03BD09F6" w:rsidR="00ED73A8" w:rsidRPr="00ED73A8" w:rsidRDefault="00C50D53" w:rsidP="00ED73A8">
      <w:pPr>
        <w:pStyle w:val="NormalWeb"/>
        <w:jc w:val="both"/>
        <w:textAlignment w:val="baseline"/>
        <w:rPr>
          <w:sz w:val="21"/>
          <w:szCs w:val="21"/>
        </w:rPr>
      </w:pPr>
      <w:r w:rsidRPr="00ED73A8">
        <w:rPr>
          <w:rFonts w:eastAsiaTheme="minorHAnsi"/>
          <w:sz w:val="21"/>
          <w:szCs w:val="21"/>
        </w:rPr>
        <w:t xml:space="preserve">The </w:t>
      </w:r>
      <w:r w:rsidR="009541EC" w:rsidRPr="00ED73A8">
        <w:rPr>
          <w:rFonts w:eastAsiaTheme="minorHAnsi"/>
          <w:sz w:val="21"/>
          <w:szCs w:val="21"/>
        </w:rPr>
        <w:t xml:space="preserve">long-running inverted </w:t>
      </w:r>
      <w:r w:rsidRPr="00ED73A8">
        <w:rPr>
          <w:rFonts w:eastAsiaTheme="minorHAnsi"/>
          <w:sz w:val="21"/>
          <w:szCs w:val="21"/>
        </w:rPr>
        <w:t>treasury</w:t>
      </w:r>
      <w:r w:rsidR="00EC452B" w:rsidRPr="00ED73A8">
        <w:rPr>
          <w:rFonts w:eastAsiaTheme="minorHAnsi"/>
          <w:sz w:val="21"/>
          <w:szCs w:val="21"/>
        </w:rPr>
        <w:t xml:space="preserve"> yield curve </w:t>
      </w:r>
      <w:r w:rsidR="009541EC" w:rsidRPr="00ED73A8">
        <w:rPr>
          <w:rFonts w:eastAsiaTheme="minorHAnsi"/>
          <w:sz w:val="21"/>
          <w:szCs w:val="21"/>
        </w:rPr>
        <w:t xml:space="preserve">ended in September. The inversion began in 2022 and lasted for a record-breaking 793 days. </w:t>
      </w:r>
      <w:r w:rsidR="009541EC" w:rsidRPr="00ED73A8">
        <w:rPr>
          <w:sz w:val="21"/>
          <w:szCs w:val="21"/>
        </w:rPr>
        <w:t xml:space="preserve">An inverted yield curve occurs when short-term interest rates exceed long-term interest rates. </w:t>
      </w:r>
    </w:p>
    <w:p w14:paraId="6491D140" w14:textId="50F588AA" w:rsidR="00E226BA" w:rsidRPr="00ED73A8" w:rsidRDefault="00E226BA" w:rsidP="00ED73A8">
      <w:pPr>
        <w:pStyle w:val="NormalWeb"/>
        <w:jc w:val="both"/>
        <w:textAlignment w:val="baseline"/>
        <w:rPr>
          <w:sz w:val="21"/>
          <w:szCs w:val="21"/>
        </w:rPr>
      </w:pPr>
      <w:r w:rsidRPr="00ED73A8">
        <w:rPr>
          <w:rFonts w:eastAsiaTheme="minorHAnsi"/>
          <w:sz w:val="21"/>
          <w:szCs w:val="21"/>
        </w:rPr>
        <w:t xml:space="preserve">The quarter </w:t>
      </w:r>
      <w:r w:rsidR="00760A52" w:rsidRPr="00ED73A8">
        <w:rPr>
          <w:rFonts w:eastAsiaTheme="minorHAnsi"/>
          <w:sz w:val="21"/>
          <w:szCs w:val="21"/>
        </w:rPr>
        <w:t xml:space="preserve">opened </w:t>
      </w:r>
      <w:r w:rsidRPr="00ED73A8">
        <w:rPr>
          <w:rFonts w:eastAsiaTheme="minorHAnsi"/>
          <w:sz w:val="21"/>
          <w:szCs w:val="21"/>
        </w:rPr>
        <w:t xml:space="preserve">with the benchmark 30-year yield at </w:t>
      </w:r>
      <w:r w:rsidR="00760A52" w:rsidRPr="00ED73A8">
        <w:rPr>
          <w:rFonts w:eastAsiaTheme="minorHAnsi"/>
          <w:sz w:val="21"/>
          <w:szCs w:val="21"/>
        </w:rPr>
        <w:t xml:space="preserve">4.64% and ended lower at </w:t>
      </w:r>
      <w:r w:rsidR="00436BC8" w:rsidRPr="00ED73A8">
        <w:rPr>
          <w:rFonts w:eastAsiaTheme="minorHAnsi"/>
          <w:sz w:val="21"/>
          <w:szCs w:val="21"/>
        </w:rPr>
        <w:t>4.</w:t>
      </w:r>
      <w:r w:rsidR="005F5B67" w:rsidRPr="00ED73A8">
        <w:rPr>
          <w:rFonts w:eastAsiaTheme="minorHAnsi"/>
          <w:sz w:val="21"/>
          <w:szCs w:val="21"/>
        </w:rPr>
        <w:t>14</w:t>
      </w:r>
      <w:r w:rsidR="00436BC8" w:rsidRPr="00ED73A8">
        <w:rPr>
          <w:rFonts w:eastAsiaTheme="minorHAnsi"/>
          <w:sz w:val="21"/>
          <w:szCs w:val="21"/>
        </w:rPr>
        <w:t>%</w:t>
      </w:r>
      <w:r w:rsidR="005F5B67" w:rsidRPr="00ED73A8">
        <w:rPr>
          <w:rFonts w:eastAsiaTheme="minorHAnsi"/>
          <w:sz w:val="21"/>
          <w:szCs w:val="21"/>
        </w:rPr>
        <w:t xml:space="preserve">. </w:t>
      </w:r>
      <w:r w:rsidR="00436BC8" w:rsidRPr="00ED73A8">
        <w:rPr>
          <w:rFonts w:eastAsiaTheme="minorHAnsi"/>
          <w:sz w:val="21"/>
          <w:szCs w:val="21"/>
        </w:rPr>
        <w:t>T</w:t>
      </w:r>
      <w:r w:rsidRPr="00ED73A8">
        <w:rPr>
          <w:rFonts w:eastAsiaTheme="minorHAnsi"/>
          <w:sz w:val="21"/>
          <w:szCs w:val="21"/>
        </w:rPr>
        <w:t>he 20-year yield settled at</w:t>
      </w:r>
      <w:r w:rsidR="00436BC8" w:rsidRPr="00ED73A8">
        <w:rPr>
          <w:rFonts w:eastAsiaTheme="minorHAnsi"/>
          <w:sz w:val="21"/>
          <w:szCs w:val="21"/>
        </w:rPr>
        <w:t xml:space="preserve"> 4.</w:t>
      </w:r>
      <w:r w:rsidR="005F5B67" w:rsidRPr="00ED73A8">
        <w:rPr>
          <w:rFonts w:eastAsiaTheme="minorHAnsi"/>
          <w:sz w:val="21"/>
          <w:szCs w:val="21"/>
        </w:rPr>
        <w:t>19</w:t>
      </w:r>
      <w:r w:rsidR="00436BC8" w:rsidRPr="00ED73A8">
        <w:rPr>
          <w:rFonts w:eastAsiaTheme="minorHAnsi"/>
          <w:sz w:val="21"/>
          <w:szCs w:val="21"/>
        </w:rPr>
        <w:t>%</w:t>
      </w:r>
      <w:r w:rsidR="006B5F98" w:rsidRPr="00ED73A8">
        <w:rPr>
          <w:rFonts w:eastAsiaTheme="minorHAnsi"/>
          <w:sz w:val="21"/>
          <w:szCs w:val="21"/>
        </w:rPr>
        <w:t xml:space="preserve">, </w:t>
      </w:r>
      <w:r w:rsidR="00760A52" w:rsidRPr="00ED73A8">
        <w:rPr>
          <w:rFonts w:eastAsiaTheme="minorHAnsi"/>
          <w:sz w:val="21"/>
          <w:szCs w:val="21"/>
        </w:rPr>
        <w:t>notably lower than the opening of the quarter when it was 4.76%.</w:t>
      </w:r>
      <w:r w:rsidRPr="00ED73A8">
        <w:rPr>
          <w:rFonts w:eastAsiaTheme="minorHAnsi"/>
          <w:sz w:val="21"/>
          <w:szCs w:val="21"/>
        </w:rPr>
        <w:t xml:space="preserve"> </w:t>
      </w:r>
    </w:p>
    <w:p w14:paraId="23964F8D" w14:textId="41052B34" w:rsidR="00FE78CD" w:rsidRDefault="00E530A1" w:rsidP="008C707C">
      <w:pPr>
        <w:pStyle w:val="NormalWeb"/>
        <w:spacing w:before="0" w:beforeAutospacing="0" w:after="0" w:afterAutospacing="0"/>
        <w:jc w:val="both"/>
        <w:textAlignment w:val="baseline"/>
        <w:rPr>
          <w:rFonts w:eastAsiaTheme="minorHAnsi"/>
          <w:b/>
          <w:bCs/>
          <w:sz w:val="21"/>
          <w:szCs w:val="21"/>
        </w:rPr>
      </w:pPr>
      <w:r w:rsidRPr="00ED73A8">
        <w:rPr>
          <w:sz w:val="21"/>
          <w:szCs w:val="21"/>
        </w:rPr>
        <w:t xml:space="preserve">We will continue </w:t>
      </w:r>
      <w:r w:rsidR="00B16ED5" w:rsidRPr="00ED73A8">
        <w:rPr>
          <w:sz w:val="21"/>
          <w:szCs w:val="21"/>
        </w:rPr>
        <w:t xml:space="preserve">to </w:t>
      </w:r>
      <w:r w:rsidRPr="00ED73A8">
        <w:rPr>
          <w:sz w:val="21"/>
          <w:szCs w:val="21"/>
        </w:rPr>
        <w:t xml:space="preserve">closely monitor how the Fed’s movements affect bond yields. With the prospect of </w:t>
      </w:r>
      <w:r w:rsidR="00847DE2">
        <w:rPr>
          <w:sz w:val="21"/>
          <w:szCs w:val="21"/>
        </w:rPr>
        <w:t>further</w:t>
      </w:r>
      <w:r w:rsidRPr="00ED73A8">
        <w:rPr>
          <w:sz w:val="21"/>
          <w:szCs w:val="21"/>
        </w:rPr>
        <w:t xml:space="preserve"> interest rate cuts on the horizon, </w:t>
      </w:r>
      <w:r w:rsidR="009541EC" w:rsidRPr="00ED73A8">
        <w:rPr>
          <w:sz w:val="21"/>
          <w:szCs w:val="21"/>
        </w:rPr>
        <w:t xml:space="preserve">the bond market may seek further shifts in demand and lower yields. </w:t>
      </w:r>
      <w:r w:rsidR="00D31282" w:rsidRPr="00ED73A8">
        <w:rPr>
          <w:rFonts w:eastAsiaTheme="minorHAnsi"/>
          <w:b/>
          <w:bCs/>
          <w:sz w:val="21"/>
          <w:szCs w:val="21"/>
        </w:rPr>
        <w:t xml:space="preserve">Please </w:t>
      </w:r>
      <w:r w:rsidR="00847DE2">
        <w:rPr>
          <w:rFonts w:eastAsiaTheme="minorHAnsi"/>
          <w:b/>
          <w:bCs/>
          <w:sz w:val="21"/>
          <w:szCs w:val="21"/>
        </w:rPr>
        <w:t>contact us</w:t>
      </w:r>
      <w:r w:rsidR="00D31282" w:rsidRPr="00ED73A8">
        <w:rPr>
          <w:rFonts w:eastAsiaTheme="minorHAnsi"/>
          <w:b/>
          <w:bCs/>
          <w:sz w:val="21"/>
          <w:szCs w:val="21"/>
        </w:rPr>
        <w:t xml:space="preserve"> if you </w:t>
      </w:r>
      <w:r w:rsidR="00847DE2">
        <w:rPr>
          <w:rFonts w:eastAsiaTheme="minorHAnsi"/>
          <w:b/>
          <w:bCs/>
          <w:sz w:val="21"/>
          <w:szCs w:val="21"/>
        </w:rPr>
        <w:t>w</w:t>
      </w:r>
      <w:r w:rsidR="00D31282" w:rsidRPr="00ED73A8">
        <w:rPr>
          <w:rFonts w:eastAsiaTheme="minorHAnsi"/>
          <w:b/>
          <w:bCs/>
          <w:sz w:val="21"/>
          <w:szCs w:val="21"/>
        </w:rPr>
        <w:t>ant</w:t>
      </w:r>
      <w:r w:rsidR="00847DE2">
        <w:rPr>
          <w:rFonts w:eastAsiaTheme="minorHAnsi"/>
          <w:b/>
          <w:bCs/>
          <w:sz w:val="21"/>
          <w:szCs w:val="21"/>
        </w:rPr>
        <w:t xml:space="preserve"> </w:t>
      </w:r>
      <w:r w:rsidR="00D31282" w:rsidRPr="00ED73A8">
        <w:rPr>
          <w:rFonts w:eastAsiaTheme="minorHAnsi"/>
          <w:b/>
          <w:bCs/>
          <w:sz w:val="21"/>
          <w:szCs w:val="21"/>
        </w:rPr>
        <w:t>t</w:t>
      </w:r>
      <w:r w:rsidR="00847DE2">
        <w:rPr>
          <w:rFonts w:eastAsiaTheme="minorHAnsi"/>
          <w:b/>
          <w:bCs/>
          <w:sz w:val="21"/>
          <w:szCs w:val="21"/>
        </w:rPr>
        <w:t>o</w:t>
      </w:r>
      <w:r w:rsidR="00D31282" w:rsidRPr="00ED73A8">
        <w:rPr>
          <w:rFonts w:eastAsiaTheme="minorHAnsi"/>
          <w:b/>
          <w:bCs/>
          <w:sz w:val="21"/>
          <w:szCs w:val="21"/>
        </w:rPr>
        <w:t xml:space="preserve"> add bonds as part of a diversified portfolio</w:t>
      </w:r>
      <w:r w:rsidR="00B2083E" w:rsidRPr="00ED73A8">
        <w:rPr>
          <w:rFonts w:eastAsiaTheme="minorHAnsi"/>
          <w:b/>
          <w:bCs/>
          <w:sz w:val="21"/>
          <w:szCs w:val="21"/>
        </w:rPr>
        <w:t xml:space="preserve">. As </w:t>
      </w:r>
      <w:r w:rsidR="00977E13">
        <w:rPr>
          <w:rFonts w:eastAsiaTheme="minorHAnsi"/>
          <w:b/>
          <w:bCs/>
          <w:sz w:val="21"/>
          <w:szCs w:val="21"/>
        </w:rPr>
        <w:t>a</w:t>
      </w:r>
      <w:r w:rsidR="00B2083E" w:rsidRPr="00ED73A8">
        <w:rPr>
          <w:rFonts w:eastAsiaTheme="minorHAnsi"/>
          <w:b/>
          <w:bCs/>
          <w:sz w:val="21"/>
          <w:szCs w:val="21"/>
        </w:rPr>
        <w:t xml:space="preserve"> wealth manager, we want to help you make the best decision for your portfolio.</w:t>
      </w:r>
      <w:r w:rsidR="00D553A0" w:rsidRPr="00ED73A8">
        <w:rPr>
          <w:rFonts w:eastAsiaTheme="minorHAnsi"/>
          <w:sz w:val="21"/>
          <w:szCs w:val="21"/>
        </w:rPr>
        <w:t xml:space="preserve"> </w:t>
      </w:r>
      <w:r w:rsidR="00F85788" w:rsidRPr="00ED73A8">
        <w:rPr>
          <w:rFonts w:eastAsiaTheme="minorHAnsi"/>
          <w:b/>
          <w:bCs/>
          <w:sz w:val="21"/>
          <w:szCs w:val="21"/>
        </w:rPr>
        <w:t>While</w:t>
      </w:r>
      <w:r w:rsidR="00B2083E" w:rsidRPr="00ED73A8">
        <w:rPr>
          <w:rFonts w:eastAsiaTheme="minorHAnsi"/>
          <w:b/>
          <w:bCs/>
          <w:sz w:val="21"/>
          <w:szCs w:val="21"/>
        </w:rPr>
        <w:t xml:space="preserve"> diversification in your portfolio can help you pursue your goals, it does not ensure a profit or guarantee against loss.</w:t>
      </w:r>
    </w:p>
    <w:p w14:paraId="3FECB5B5" w14:textId="77777777" w:rsidR="00503AA9" w:rsidRPr="00503AA9" w:rsidRDefault="00503AA9" w:rsidP="008C707C">
      <w:pPr>
        <w:pStyle w:val="NormalWeb"/>
        <w:spacing w:before="0" w:beforeAutospacing="0" w:after="0" w:afterAutospacing="0"/>
        <w:jc w:val="both"/>
        <w:textAlignment w:val="baseline"/>
        <w:rPr>
          <w:sz w:val="14"/>
          <w:szCs w:val="14"/>
        </w:rPr>
      </w:pPr>
    </w:p>
    <w:p w14:paraId="6B061252" w14:textId="1ACA4524" w:rsidR="00184CFE" w:rsidRPr="00FC6A1E" w:rsidRDefault="00184CFE" w:rsidP="008C707C">
      <w:pPr>
        <w:pStyle w:val="NormalWeb"/>
        <w:spacing w:before="0" w:beforeAutospacing="0" w:after="0" w:afterAutospacing="0"/>
        <w:jc w:val="both"/>
        <w:textAlignment w:val="baseline"/>
        <w:rPr>
          <w:rFonts w:eastAsiaTheme="minorHAnsi"/>
          <w:b/>
          <w:bCs/>
          <w:sz w:val="8"/>
          <w:szCs w:val="8"/>
        </w:rPr>
      </w:pPr>
    </w:p>
    <w:p w14:paraId="7C67B940" w14:textId="13BE79A5" w:rsidR="000044FA" w:rsidRPr="00ED73A8" w:rsidRDefault="000044FA" w:rsidP="000044FA">
      <w:pPr>
        <w:shd w:val="clear" w:color="auto" w:fill="BDD6EE" w:themeFill="accent5" w:themeFillTint="66"/>
        <w:spacing w:line="240" w:lineRule="auto"/>
        <w:jc w:val="center"/>
        <w:rPr>
          <w:rFonts w:cstheme="minorHAnsi"/>
          <w:b/>
          <w:bCs/>
          <w:sz w:val="28"/>
          <w:szCs w:val="28"/>
        </w:rPr>
      </w:pPr>
      <w:r w:rsidRPr="00ED73A8">
        <w:rPr>
          <w:rFonts w:cstheme="minorHAnsi"/>
          <w:b/>
          <w:bCs/>
          <w:sz w:val="28"/>
          <w:szCs w:val="28"/>
        </w:rPr>
        <w:t>Investor’s Outlook</w:t>
      </w:r>
    </w:p>
    <w:p w14:paraId="3DC6D037" w14:textId="0940B8D0" w:rsidR="0062621C" w:rsidRPr="00ED73A8" w:rsidRDefault="0095556E" w:rsidP="00CA5982">
      <w:pPr>
        <w:pStyle w:val="NormalWeb"/>
        <w:spacing w:before="0" w:beforeAutospacing="0" w:after="0" w:afterAutospacing="0"/>
        <w:jc w:val="both"/>
        <w:textAlignment w:val="baseline"/>
        <w:rPr>
          <w:rFonts w:eastAsiaTheme="minorHAnsi"/>
          <w:sz w:val="21"/>
          <w:szCs w:val="21"/>
        </w:rPr>
      </w:pPr>
      <w:r w:rsidRPr="00ED73A8">
        <w:rPr>
          <w:rFonts w:eastAsiaTheme="minorEastAsia"/>
          <w:sz w:val="21"/>
          <w:szCs w:val="21"/>
        </w:rPr>
        <w:t xml:space="preserve">The S&amp;P 500 and DJIA continued to </w:t>
      </w:r>
      <w:r w:rsidR="003A6FFA" w:rsidRPr="00ED73A8">
        <w:rPr>
          <w:rFonts w:eastAsiaTheme="minorEastAsia"/>
          <w:sz w:val="21"/>
          <w:szCs w:val="21"/>
        </w:rPr>
        <w:t xml:space="preserve">create </w:t>
      </w:r>
      <w:r w:rsidRPr="00ED73A8">
        <w:rPr>
          <w:rFonts w:eastAsiaTheme="minorEastAsia"/>
          <w:sz w:val="21"/>
          <w:szCs w:val="21"/>
        </w:rPr>
        <w:t>all-time highs in the third quarter, maintaining a strong year for investors so far</w:t>
      </w:r>
      <w:r w:rsidR="006E7986" w:rsidRPr="00ED73A8">
        <w:rPr>
          <w:rFonts w:eastAsiaTheme="minorEastAsia"/>
          <w:sz w:val="21"/>
          <w:szCs w:val="21"/>
        </w:rPr>
        <w:t xml:space="preserve">. In fact, it was </w:t>
      </w:r>
      <w:r w:rsidR="006E7986" w:rsidRPr="00ED73A8">
        <w:rPr>
          <w:rFonts w:eastAsiaTheme="minorHAnsi"/>
          <w:sz w:val="21"/>
          <w:szCs w:val="21"/>
        </w:rPr>
        <w:t>the best first three quarters of any year in the 21</w:t>
      </w:r>
      <w:r w:rsidR="006E7986" w:rsidRPr="00ED73A8">
        <w:rPr>
          <w:rFonts w:eastAsiaTheme="minorHAnsi"/>
          <w:sz w:val="21"/>
          <w:szCs w:val="21"/>
          <w:vertAlign w:val="superscript"/>
        </w:rPr>
        <w:t>st</w:t>
      </w:r>
      <w:r w:rsidR="006E7986" w:rsidRPr="00ED73A8">
        <w:rPr>
          <w:rFonts w:eastAsiaTheme="minorHAnsi"/>
          <w:sz w:val="21"/>
          <w:szCs w:val="21"/>
        </w:rPr>
        <w:t xml:space="preserve"> century. </w:t>
      </w:r>
      <w:r w:rsidR="003A6FFA" w:rsidRPr="00ED73A8">
        <w:rPr>
          <w:rFonts w:eastAsiaTheme="minorHAnsi"/>
          <w:sz w:val="21"/>
          <w:szCs w:val="21"/>
        </w:rPr>
        <w:t>Historically, t</w:t>
      </w:r>
      <w:r w:rsidR="006E7986" w:rsidRPr="00ED73A8">
        <w:rPr>
          <w:rFonts w:eastAsiaTheme="minorHAnsi"/>
          <w:sz w:val="21"/>
          <w:szCs w:val="21"/>
        </w:rPr>
        <w:t xml:space="preserve">he fourth quarter </w:t>
      </w:r>
      <w:r w:rsidR="00F6370B" w:rsidRPr="00ED73A8">
        <w:rPr>
          <w:rFonts w:eastAsiaTheme="minorHAnsi"/>
          <w:sz w:val="21"/>
          <w:szCs w:val="21"/>
        </w:rPr>
        <w:t xml:space="preserve">has been </w:t>
      </w:r>
      <w:r w:rsidR="006E7986" w:rsidRPr="00ED73A8">
        <w:rPr>
          <w:rFonts w:eastAsiaTheme="minorHAnsi"/>
          <w:sz w:val="21"/>
          <w:szCs w:val="21"/>
        </w:rPr>
        <w:t xml:space="preserve">a strong </w:t>
      </w:r>
      <w:r w:rsidR="006E7986" w:rsidRPr="00ED73A8">
        <w:rPr>
          <w:rFonts w:eastAsiaTheme="minorEastAsia"/>
          <w:sz w:val="21"/>
          <w:szCs w:val="21"/>
        </w:rPr>
        <w:t>one for equities</w:t>
      </w:r>
      <w:r w:rsidR="00D14910" w:rsidRPr="00ED73A8">
        <w:rPr>
          <w:rFonts w:eastAsiaTheme="minorEastAsia"/>
          <w:sz w:val="21"/>
          <w:szCs w:val="21"/>
        </w:rPr>
        <w:t xml:space="preserve">, </w:t>
      </w:r>
      <w:r w:rsidR="002E6106" w:rsidRPr="00ED73A8">
        <w:rPr>
          <w:rFonts w:eastAsiaTheme="minorEastAsia"/>
          <w:sz w:val="21"/>
          <w:szCs w:val="21"/>
        </w:rPr>
        <w:t>with the S&amp;P 500 posting a </w:t>
      </w:r>
      <w:hyperlink r:id="rId15" w:tgtFrame="_self" w:tooltip="https://www.forbes.com/sites/dereksaul/2023/09/29/stocks-suffer-worst-quarter-of-2023-as-good-vibes-dry-out/" w:history="1">
        <w:r w:rsidR="002E6106" w:rsidRPr="00ED73A8">
          <w:rPr>
            <w:rFonts w:eastAsiaTheme="minorEastAsia"/>
            <w:sz w:val="21"/>
            <w:szCs w:val="21"/>
          </w:rPr>
          <w:t>more than 4%</w:t>
        </w:r>
      </w:hyperlink>
      <w:r w:rsidR="002E6106" w:rsidRPr="00ED73A8">
        <w:rPr>
          <w:rFonts w:eastAsiaTheme="minorEastAsia"/>
          <w:sz w:val="21"/>
          <w:szCs w:val="21"/>
        </w:rPr>
        <w:t xml:space="preserve"> average gain from 1957 to 2022. </w:t>
      </w:r>
      <w:r w:rsidR="002E6106" w:rsidRPr="00FC6A1E">
        <w:rPr>
          <w:rFonts w:eastAsiaTheme="minorEastAsia"/>
          <w:i/>
          <w:iCs/>
          <w:sz w:val="18"/>
          <w:szCs w:val="18"/>
        </w:rPr>
        <w:t>(forbes.com, 9/30/24)</w:t>
      </w:r>
    </w:p>
    <w:p w14:paraId="660DD87A" w14:textId="2E9F3E67" w:rsidR="00CE56B1" w:rsidRPr="00ED73A8" w:rsidRDefault="003A6FFA" w:rsidP="00315883">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Although there is still a lot of uncertainty in the world and economy, w</w:t>
      </w:r>
      <w:r w:rsidR="00557E56" w:rsidRPr="00ED73A8">
        <w:rPr>
          <w:rFonts w:eastAsiaTheme="minorEastAsia"/>
          <w:sz w:val="21"/>
          <w:szCs w:val="21"/>
        </w:rPr>
        <w:t>e are</w:t>
      </w:r>
      <w:r w:rsidRPr="00ED73A8">
        <w:rPr>
          <w:rFonts w:eastAsiaTheme="minorEastAsia"/>
          <w:sz w:val="21"/>
          <w:szCs w:val="21"/>
        </w:rPr>
        <w:t xml:space="preserve"> still</w:t>
      </w:r>
      <w:r w:rsidR="00557E56" w:rsidRPr="00ED73A8">
        <w:rPr>
          <w:rFonts w:eastAsiaTheme="minorEastAsia"/>
          <w:sz w:val="21"/>
          <w:szCs w:val="21"/>
        </w:rPr>
        <w:t xml:space="preserve"> currently experiencing a bull market</w:t>
      </w:r>
      <w:r w:rsidR="00D31282" w:rsidRPr="00ED73A8">
        <w:rPr>
          <w:rFonts w:eastAsiaTheme="minorEastAsia"/>
          <w:sz w:val="21"/>
          <w:szCs w:val="21"/>
        </w:rPr>
        <w:t>,</w:t>
      </w:r>
      <w:r w:rsidR="00557E56" w:rsidRPr="00ED73A8">
        <w:rPr>
          <w:rFonts w:eastAsiaTheme="minorEastAsia"/>
          <w:sz w:val="21"/>
          <w:szCs w:val="21"/>
        </w:rPr>
        <w:t xml:space="preserve"> </w:t>
      </w:r>
      <w:r w:rsidR="00CE56B1" w:rsidRPr="00ED73A8">
        <w:rPr>
          <w:rFonts w:eastAsiaTheme="minorEastAsia"/>
          <w:sz w:val="21"/>
          <w:szCs w:val="21"/>
        </w:rPr>
        <w:t xml:space="preserve">which began in June 2023 after the S&amp;P 500 rose 20% from its low in October 2022. </w:t>
      </w:r>
      <w:r w:rsidR="00D56469" w:rsidRPr="00ED73A8">
        <w:rPr>
          <w:rFonts w:eastAsiaTheme="minorEastAsia"/>
          <w:sz w:val="21"/>
          <w:szCs w:val="21"/>
        </w:rPr>
        <w:t xml:space="preserve">Many investors are speculating </w:t>
      </w:r>
      <w:r w:rsidR="00F6370B" w:rsidRPr="00ED73A8">
        <w:rPr>
          <w:rFonts w:eastAsiaTheme="minorEastAsia"/>
          <w:sz w:val="21"/>
          <w:szCs w:val="21"/>
        </w:rPr>
        <w:t>about how long this b</w:t>
      </w:r>
      <w:r w:rsidRPr="00ED73A8">
        <w:rPr>
          <w:rFonts w:eastAsiaTheme="minorEastAsia"/>
          <w:sz w:val="21"/>
          <w:szCs w:val="21"/>
        </w:rPr>
        <w:t>ull</w:t>
      </w:r>
      <w:r w:rsidR="00F6370B" w:rsidRPr="00ED73A8">
        <w:rPr>
          <w:rFonts w:eastAsiaTheme="minorEastAsia"/>
          <w:sz w:val="21"/>
          <w:szCs w:val="21"/>
        </w:rPr>
        <w:t xml:space="preserve"> market can </w:t>
      </w:r>
      <w:r w:rsidR="00D56469" w:rsidRPr="00ED73A8">
        <w:rPr>
          <w:rFonts w:eastAsiaTheme="minorEastAsia"/>
          <w:sz w:val="21"/>
          <w:szCs w:val="21"/>
        </w:rPr>
        <w:t>last. While previous performance is not an indicator of future results, historically, t</w:t>
      </w:r>
      <w:r w:rsidR="00CE56B1" w:rsidRPr="00ED73A8">
        <w:rPr>
          <w:rFonts w:eastAsiaTheme="minorEastAsia"/>
          <w:sz w:val="21"/>
          <w:szCs w:val="21"/>
        </w:rPr>
        <w:t>he median bull market lasts about 46 months or 3.8 years. As of September, this current bull run is</w:t>
      </w:r>
      <w:r w:rsidRPr="00ED73A8">
        <w:rPr>
          <w:rFonts w:eastAsiaTheme="minorEastAsia"/>
          <w:sz w:val="21"/>
          <w:szCs w:val="21"/>
        </w:rPr>
        <w:t xml:space="preserve"> only</w:t>
      </w:r>
      <w:r w:rsidR="00CE56B1" w:rsidRPr="00ED73A8">
        <w:rPr>
          <w:rFonts w:eastAsiaTheme="minorEastAsia"/>
          <w:sz w:val="21"/>
          <w:szCs w:val="21"/>
        </w:rPr>
        <w:t xml:space="preserve"> 21 months old. </w:t>
      </w:r>
      <w:r w:rsidR="00CE56B1" w:rsidRPr="00FC6A1E">
        <w:rPr>
          <w:rFonts w:eastAsiaTheme="minorEastAsia"/>
          <w:i/>
          <w:iCs/>
          <w:sz w:val="18"/>
          <w:szCs w:val="18"/>
        </w:rPr>
        <w:t>(Source: Investopedia.com: 6/24)</w:t>
      </w:r>
    </w:p>
    <w:p w14:paraId="19C43A87" w14:textId="6199130C" w:rsidR="00CE56B1" w:rsidRPr="00ED73A8" w:rsidRDefault="00CE56B1" w:rsidP="00315883">
      <w:pPr>
        <w:pStyle w:val="NormalWeb"/>
        <w:spacing w:before="0" w:beforeAutospacing="0" w:after="0" w:afterAutospacing="0"/>
        <w:jc w:val="both"/>
        <w:textAlignment w:val="baseline"/>
        <w:rPr>
          <w:rFonts w:eastAsiaTheme="minorEastAsia"/>
          <w:sz w:val="21"/>
          <w:szCs w:val="21"/>
        </w:rPr>
      </w:pPr>
    </w:p>
    <w:p w14:paraId="2944D114" w14:textId="5CFFD396" w:rsidR="00027F5D" w:rsidRPr="00ED73A8" w:rsidRDefault="00D14910" w:rsidP="00ED73A8">
      <w:pPr>
        <w:pStyle w:val="NormalWeb"/>
        <w:spacing w:before="0" w:beforeAutospacing="0" w:after="0" w:afterAutospacing="0"/>
        <w:jc w:val="both"/>
        <w:textAlignment w:val="baseline"/>
        <w:rPr>
          <w:rFonts w:eastAsiaTheme="minorEastAsia"/>
          <w:sz w:val="21"/>
          <w:szCs w:val="21"/>
        </w:rPr>
      </w:pPr>
      <w:r w:rsidRPr="00ED73A8">
        <w:rPr>
          <w:rFonts w:eastAsiaTheme="minorHAnsi"/>
          <w:sz w:val="21"/>
          <w:szCs w:val="21"/>
        </w:rPr>
        <w:t xml:space="preserve">While many analysts remain optimistic that we will continue to experience this record-breaking rally, several volatility-inducing events are waiting in the wings, including the U.S. elections and continued geopolitical risk. </w:t>
      </w:r>
      <w:r w:rsidR="003E5CCC" w:rsidRPr="00ED73A8">
        <w:rPr>
          <w:rFonts w:eastAsiaTheme="minorEastAsia"/>
          <w:sz w:val="21"/>
          <w:szCs w:val="21"/>
        </w:rPr>
        <w:t xml:space="preserve">Volatility </w:t>
      </w:r>
      <w:r w:rsidRPr="00ED73A8">
        <w:rPr>
          <w:rFonts w:eastAsiaTheme="minorEastAsia"/>
          <w:sz w:val="21"/>
          <w:szCs w:val="21"/>
        </w:rPr>
        <w:t>will continue to be</w:t>
      </w:r>
      <w:r w:rsidR="003E5CCC" w:rsidRPr="00ED73A8">
        <w:rPr>
          <w:rFonts w:eastAsiaTheme="minorEastAsia"/>
          <w:sz w:val="21"/>
          <w:szCs w:val="21"/>
        </w:rPr>
        <w:t xml:space="preserve"> a concern moving into the coming months. </w:t>
      </w:r>
      <w:r w:rsidR="00ED73A8" w:rsidRPr="00ED73A8">
        <w:rPr>
          <w:rFonts w:eastAsiaTheme="minorEastAsia"/>
          <w:sz w:val="21"/>
          <w:szCs w:val="21"/>
        </w:rPr>
        <w:t xml:space="preserve">Although the current Presidential election is highly contentious, please remember that typically, economic and inflation trends affect equities markets more than election results. Because this is an unusually raucous election year, we cannot overlook the potential of a short-term election aftershock in the stock market.   Regardless of who is elected, both candidates have proposed changes in tax rules and economic policy that can directly affect investors, savers, retirees, and taxpayers. </w:t>
      </w:r>
      <w:r w:rsidR="003E5CCC" w:rsidRPr="00ED73A8">
        <w:rPr>
          <w:rFonts w:eastAsiaTheme="minorEastAsia"/>
          <w:sz w:val="21"/>
          <w:szCs w:val="21"/>
        </w:rPr>
        <w:t xml:space="preserve"> </w:t>
      </w:r>
    </w:p>
    <w:p w14:paraId="691F67E0" w14:textId="591F82F0" w:rsidR="00027F5D" w:rsidRPr="00ED73A8" w:rsidRDefault="00027F5D" w:rsidP="00315883">
      <w:pPr>
        <w:pStyle w:val="NormalWeb"/>
        <w:spacing w:before="0" w:beforeAutospacing="0" w:after="0" w:afterAutospacing="0"/>
        <w:jc w:val="both"/>
        <w:textAlignment w:val="baseline"/>
        <w:rPr>
          <w:rFonts w:eastAsiaTheme="minorEastAsia"/>
          <w:sz w:val="21"/>
          <w:szCs w:val="21"/>
        </w:rPr>
      </w:pPr>
    </w:p>
    <w:p w14:paraId="1AD66DE8" w14:textId="3C9B9921" w:rsidR="00117A36" w:rsidRPr="00ED73A8" w:rsidRDefault="005D2443" w:rsidP="00315883">
      <w:pPr>
        <w:pStyle w:val="NormalWeb"/>
        <w:spacing w:before="0" w:beforeAutospacing="0" w:after="0" w:afterAutospacing="0"/>
        <w:jc w:val="both"/>
        <w:textAlignment w:val="baseline"/>
        <w:rPr>
          <w:rFonts w:eastAsiaTheme="minorEastAsia"/>
          <w:sz w:val="21"/>
          <w:szCs w:val="21"/>
        </w:rPr>
      </w:pPr>
      <w:r w:rsidRPr="00ED73A8">
        <w:rPr>
          <w:b/>
          <w:bCs/>
          <w:noProof/>
          <w:sz w:val="21"/>
          <w:szCs w:val="21"/>
        </w:rPr>
        <w:lastRenderedPageBreak/>
        <w:drawing>
          <wp:anchor distT="91440" distB="91440" distL="114300" distR="114300" simplePos="0" relativeHeight="251980800" behindDoc="0" locked="0" layoutInCell="1" allowOverlap="1" wp14:anchorId="2F2D1F1E" wp14:editId="6C8C8AFE">
            <wp:simplePos x="0" y="0"/>
            <wp:positionH relativeFrom="margin">
              <wp:posOffset>3432372</wp:posOffset>
            </wp:positionH>
            <wp:positionV relativeFrom="paragraph">
              <wp:posOffset>55377</wp:posOffset>
            </wp:positionV>
            <wp:extent cx="2942590" cy="975360"/>
            <wp:effectExtent l="0" t="0" r="0" b="0"/>
            <wp:wrapSquare wrapText="bothSides"/>
            <wp:docPr id="2059944330"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44330" name="Picture 1" descr="A blue rectangle with white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2590" cy="975360"/>
                    </a:xfrm>
                    <a:prstGeom prst="rect">
                      <a:avLst/>
                    </a:prstGeom>
                  </pic:spPr>
                </pic:pic>
              </a:graphicData>
            </a:graphic>
            <wp14:sizeRelH relativeFrom="page">
              <wp14:pctWidth>0</wp14:pctWidth>
            </wp14:sizeRelH>
            <wp14:sizeRelV relativeFrom="page">
              <wp14:pctHeight>0</wp14:pctHeight>
            </wp14:sizeRelV>
          </wp:anchor>
        </w:drawing>
      </w:r>
      <w:r w:rsidR="009467E0" w:rsidRPr="00ED73A8">
        <w:rPr>
          <w:rFonts w:eastAsiaTheme="minorEastAsia"/>
          <w:sz w:val="21"/>
          <w:szCs w:val="21"/>
        </w:rPr>
        <w:t>The Fed projections currently estimate another half-point rate cut in 2024 from the recently lowered range of 4.75 – 5.</w:t>
      </w:r>
      <w:r w:rsidR="00B16ED5" w:rsidRPr="00ED73A8">
        <w:rPr>
          <w:rFonts w:eastAsiaTheme="minorEastAsia"/>
          <w:sz w:val="21"/>
          <w:szCs w:val="21"/>
        </w:rPr>
        <w:t>0</w:t>
      </w:r>
      <w:r w:rsidR="009467E0" w:rsidRPr="00ED73A8">
        <w:rPr>
          <w:rFonts w:eastAsiaTheme="minorEastAsia"/>
          <w:sz w:val="21"/>
          <w:szCs w:val="21"/>
        </w:rPr>
        <w:t xml:space="preserve">%. Should inflation continue to decline and unemployment numbers rise, the projections further indicate that interest rates will drop another percentage point by 2025. </w:t>
      </w:r>
    </w:p>
    <w:p w14:paraId="7BE29033" w14:textId="36AF9DC1" w:rsidR="00117A36" w:rsidRPr="00ED73A8" w:rsidRDefault="00117A36" w:rsidP="00117A36">
      <w:pPr>
        <w:pStyle w:val="NormalWeb"/>
        <w:spacing w:before="0" w:beforeAutospacing="0" w:after="0" w:afterAutospacing="0"/>
        <w:jc w:val="both"/>
        <w:textAlignment w:val="baseline"/>
        <w:rPr>
          <w:rFonts w:eastAsiaTheme="minorEastAsia"/>
          <w:sz w:val="21"/>
          <w:szCs w:val="21"/>
        </w:rPr>
      </w:pPr>
    </w:p>
    <w:p w14:paraId="21C7535F" w14:textId="3D664FB9" w:rsidR="00C5686E" w:rsidRPr="00ED73A8" w:rsidRDefault="00117A36" w:rsidP="00315883">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As interest rates move lower, consumers could experience the much-anticipated ease of strain on borrowing costs. For many, this could mean paying lower interest rates on auto and home loans</w:t>
      </w:r>
      <w:r w:rsidR="009D61C5" w:rsidRPr="00ED73A8">
        <w:rPr>
          <w:rFonts w:eastAsiaTheme="minorEastAsia"/>
          <w:sz w:val="21"/>
          <w:szCs w:val="21"/>
        </w:rPr>
        <w:t>,</w:t>
      </w:r>
      <w:r w:rsidRPr="00ED73A8">
        <w:rPr>
          <w:rFonts w:eastAsiaTheme="minorEastAsia"/>
          <w:sz w:val="21"/>
          <w:szCs w:val="21"/>
        </w:rPr>
        <w:t xml:space="preserve"> refinancing currently higher loans and mortgages, and tapping into home equity at a lower cost.</w:t>
      </w:r>
    </w:p>
    <w:p w14:paraId="57DCEAB0" w14:textId="77777777" w:rsidR="00691973" w:rsidRPr="00ED73A8" w:rsidRDefault="00691973" w:rsidP="00C86734">
      <w:pPr>
        <w:pStyle w:val="NormalWeb"/>
        <w:spacing w:before="0" w:beforeAutospacing="0" w:after="0" w:afterAutospacing="0"/>
        <w:jc w:val="both"/>
        <w:textAlignment w:val="baseline"/>
        <w:rPr>
          <w:rFonts w:eastAsiaTheme="minorEastAsia"/>
          <w:sz w:val="21"/>
          <w:szCs w:val="21"/>
        </w:rPr>
      </w:pPr>
    </w:p>
    <w:p w14:paraId="6FFC2615" w14:textId="0A5010A7" w:rsidR="00C86734" w:rsidRPr="00ED73A8" w:rsidRDefault="00F202C8" w:rsidP="00C86734">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Currently, t</w:t>
      </w:r>
      <w:r w:rsidR="00B074E7" w:rsidRPr="00ED73A8">
        <w:rPr>
          <w:rFonts w:eastAsiaTheme="minorEastAsia"/>
          <w:sz w:val="21"/>
          <w:szCs w:val="21"/>
        </w:rPr>
        <w:t>he U.S.</w:t>
      </w:r>
      <w:r w:rsidRPr="00ED73A8">
        <w:rPr>
          <w:rFonts w:eastAsiaTheme="minorEastAsia"/>
          <w:sz w:val="21"/>
          <w:szCs w:val="21"/>
        </w:rPr>
        <w:t xml:space="preserve"> </w:t>
      </w:r>
      <w:r w:rsidR="005B4E3B" w:rsidRPr="00ED73A8">
        <w:rPr>
          <w:rFonts w:eastAsiaTheme="minorEastAsia"/>
          <w:sz w:val="21"/>
          <w:szCs w:val="21"/>
        </w:rPr>
        <w:t>economy continues to show signs of strength and resilience.</w:t>
      </w:r>
      <w:r w:rsidR="00C86734" w:rsidRPr="00ED73A8">
        <w:rPr>
          <w:rFonts w:eastAsiaTheme="minorEastAsia"/>
          <w:sz w:val="21"/>
          <w:szCs w:val="21"/>
        </w:rPr>
        <w:t xml:space="preserve"> </w:t>
      </w:r>
      <w:r w:rsidR="00117A36" w:rsidRPr="00ED73A8">
        <w:rPr>
          <w:rFonts w:eastAsiaTheme="minorEastAsia"/>
          <w:sz w:val="21"/>
          <w:szCs w:val="21"/>
        </w:rPr>
        <w:t xml:space="preserve">Will we see the </w:t>
      </w:r>
      <w:r w:rsidR="009D61C5" w:rsidRPr="00ED73A8">
        <w:rPr>
          <w:rFonts w:eastAsiaTheme="minorEastAsia"/>
          <w:sz w:val="21"/>
          <w:szCs w:val="21"/>
        </w:rPr>
        <w:t>soft landing</w:t>
      </w:r>
      <w:r w:rsidR="00117A36" w:rsidRPr="00ED73A8">
        <w:rPr>
          <w:rFonts w:eastAsiaTheme="minorEastAsia"/>
          <w:sz w:val="21"/>
          <w:szCs w:val="21"/>
        </w:rPr>
        <w:t xml:space="preserve"> the Fed has </w:t>
      </w:r>
      <w:r w:rsidR="00733F4B" w:rsidRPr="00ED73A8">
        <w:rPr>
          <w:rFonts w:eastAsiaTheme="minorEastAsia"/>
          <w:sz w:val="21"/>
          <w:szCs w:val="21"/>
        </w:rPr>
        <w:t xml:space="preserve">worked so hard for? </w:t>
      </w:r>
      <w:r w:rsidR="00E86C78" w:rsidRPr="00ED73A8">
        <w:rPr>
          <w:rFonts w:eastAsiaTheme="minorEastAsia"/>
          <w:sz w:val="21"/>
          <w:szCs w:val="21"/>
        </w:rPr>
        <w:t xml:space="preserve">Have we steered away from a recession? While still a concern, </w:t>
      </w:r>
      <w:r w:rsidR="009D61C5" w:rsidRPr="00ED73A8">
        <w:rPr>
          <w:rFonts w:eastAsiaTheme="minorEastAsia"/>
          <w:sz w:val="21"/>
          <w:szCs w:val="21"/>
        </w:rPr>
        <w:t>it’s</w:t>
      </w:r>
      <w:r w:rsidR="00E86C78" w:rsidRPr="00ED73A8">
        <w:rPr>
          <w:rFonts w:eastAsiaTheme="minorEastAsia"/>
          <w:sz w:val="21"/>
          <w:szCs w:val="21"/>
        </w:rPr>
        <w:t xml:space="preserve"> looking hopeful the Fed has deflected, at the least, a hard recession.</w:t>
      </w:r>
    </w:p>
    <w:p w14:paraId="66E81320" w14:textId="4F60005D" w:rsidR="007F07F6" w:rsidRPr="00ED73A8" w:rsidRDefault="007F07F6" w:rsidP="00315883">
      <w:pPr>
        <w:pStyle w:val="NormalWeb"/>
        <w:spacing w:before="0" w:beforeAutospacing="0" w:after="0" w:afterAutospacing="0"/>
        <w:jc w:val="both"/>
        <w:textAlignment w:val="baseline"/>
        <w:rPr>
          <w:rFonts w:eastAsiaTheme="minorEastAsia"/>
          <w:sz w:val="21"/>
          <w:szCs w:val="21"/>
        </w:rPr>
      </w:pPr>
    </w:p>
    <w:p w14:paraId="57C30860" w14:textId="536B4354" w:rsidR="00ED73A8" w:rsidRPr="00ED73A8" w:rsidRDefault="00E47B0D" w:rsidP="00315883">
      <w:pPr>
        <w:pStyle w:val="NormalWeb"/>
        <w:spacing w:before="0" w:beforeAutospacing="0" w:after="0" w:afterAutospacing="0"/>
        <w:jc w:val="both"/>
        <w:textAlignment w:val="baseline"/>
        <w:rPr>
          <w:rFonts w:eastAsiaTheme="minorEastAsia"/>
          <w:sz w:val="21"/>
          <w:szCs w:val="21"/>
        </w:rPr>
      </w:pPr>
      <w:r w:rsidRPr="00ED73A8">
        <w:rPr>
          <w:rFonts w:eastAsiaTheme="minorEastAsia"/>
          <w:sz w:val="21"/>
          <w:szCs w:val="21"/>
        </w:rPr>
        <w:t>Although investors have been pleasantly rewarded thus far in 2024, w</w:t>
      </w:r>
      <w:r w:rsidR="0011159A" w:rsidRPr="00ED73A8">
        <w:rPr>
          <w:rFonts w:eastAsiaTheme="minorEastAsia"/>
          <w:sz w:val="21"/>
          <w:szCs w:val="21"/>
        </w:rPr>
        <w:t>e</w:t>
      </w:r>
      <w:r w:rsidR="00CE56B1" w:rsidRPr="00ED73A8">
        <w:rPr>
          <w:rFonts w:eastAsiaTheme="minorEastAsia"/>
          <w:sz w:val="21"/>
          <w:szCs w:val="21"/>
        </w:rPr>
        <w:t xml:space="preserve"> continue to follow our mantra of “proceed with caution” over these coming months. </w:t>
      </w:r>
      <w:r w:rsidR="00ED73A8" w:rsidRPr="00ED73A8">
        <w:rPr>
          <w:rFonts w:eastAsiaTheme="minorEastAsia"/>
          <w:sz w:val="21"/>
          <w:szCs w:val="21"/>
        </w:rPr>
        <w:t xml:space="preserve">Maintaining a long-term approach to investing should still be a benchmark for savvy investors. We will continue to focus on key factors that could affect your personal situation, including economic growth, inflation movement, monetary policy moves, and interest rate changes. </w:t>
      </w:r>
    </w:p>
    <w:p w14:paraId="77DD3BC6" w14:textId="44214378" w:rsidR="00255AD9" w:rsidRPr="00ED73A8" w:rsidRDefault="00255AD9" w:rsidP="00315883">
      <w:pPr>
        <w:pStyle w:val="NormalWeb"/>
        <w:spacing w:before="0" w:beforeAutospacing="0" w:after="0" w:afterAutospacing="0"/>
        <w:jc w:val="both"/>
        <w:textAlignment w:val="baseline"/>
        <w:rPr>
          <w:rFonts w:eastAsiaTheme="minorEastAsia"/>
          <w:sz w:val="21"/>
          <w:szCs w:val="21"/>
        </w:rPr>
      </w:pPr>
    </w:p>
    <w:p w14:paraId="268FA50F" w14:textId="4B261F2C" w:rsidR="00E47B0D" w:rsidRPr="00ED73A8" w:rsidRDefault="000F4642" w:rsidP="00E47B0D">
      <w:pPr>
        <w:pStyle w:val="NormalWeb"/>
        <w:spacing w:before="0" w:beforeAutospacing="0" w:after="0" w:afterAutospacing="0"/>
        <w:jc w:val="both"/>
        <w:textAlignment w:val="baseline"/>
        <w:rPr>
          <w:rFonts w:eastAsiaTheme="minorEastAsia"/>
          <w:sz w:val="21"/>
          <w:szCs w:val="21"/>
        </w:rPr>
      </w:pPr>
      <w:r w:rsidRPr="00ED73A8">
        <w:rPr>
          <w:rFonts w:eastAsia="Calibri"/>
          <w:noProof/>
          <w:sz w:val="21"/>
          <w:szCs w:val="21"/>
        </w:rPr>
        <mc:AlternateContent>
          <mc:Choice Requires="wps">
            <w:drawing>
              <wp:anchor distT="91440" distB="91440" distL="114300" distR="114300" simplePos="0" relativeHeight="251966464" behindDoc="1" locked="0" layoutInCell="1" allowOverlap="1" wp14:anchorId="7298A002" wp14:editId="5B2A0DC3">
                <wp:simplePos x="0" y="0"/>
                <wp:positionH relativeFrom="margin">
                  <wp:posOffset>-95250</wp:posOffset>
                </wp:positionH>
                <wp:positionV relativeFrom="margin">
                  <wp:posOffset>5029200</wp:posOffset>
                </wp:positionV>
                <wp:extent cx="6734175" cy="1200150"/>
                <wp:effectExtent l="19050" t="19050" r="28575"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34175" cy="1200150"/>
                        </a:xfrm>
                        <a:prstGeom prst="rect">
                          <a:avLst/>
                        </a:prstGeom>
                        <a:noFill/>
                        <a:ln w="38100" cap="sq" cmpd="dbl">
                          <a:solidFill>
                            <a:schemeClr val="accent1">
                              <a:lumMod val="50000"/>
                            </a:schemeClr>
                          </a:solidFill>
                          <a:prstDash val="solid"/>
                          <a:bevel/>
                        </a:ln>
                        <a:effectLst/>
                      </wps:spPr>
                      <wps:txbx>
                        <w:txbxContent>
                          <w:p w14:paraId="05A73ED5" w14:textId="77777777" w:rsidR="00023DC8" w:rsidRPr="005E5B21" w:rsidRDefault="00023DC8" w:rsidP="00023DC8">
                            <w:pPr>
                              <w:pStyle w:val="Footer"/>
                              <w:tabs>
                                <w:tab w:val="clear" w:pos="4680"/>
                              </w:tabs>
                              <w:ind w:left="90" w:right="1"/>
                              <w:jc w:val="center"/>
                              <w:rPr>
                                <w:rFonts w:ascii="Arial Narrow" w:hAnsi="Arial Narrow" w:cstheme="minorHAnsi"/>
                                <w:b/>
                                <w:iCs/>
                                <w:color w:val="003399"/>
                                <w:sz w:val="32"/>
                                <w:szCs w:val="36"/>
                              </w:rPr>
                            </w:pPr>
                            <w:r w:rsidRPr="005E5B21">
                              <w:rPr>
                                <w:rFonts w:ascii="Arial Narrow" w:hAnsi="Arial Narrow" w:cstheme="minorHAnsi"/>
                                <w:b/>
                                <w:iCs/>
                                <w:color w:val="003399"/>
                                <w:sz w:val="32"/>
                                <w:szCs w:val="36"/>
                              </w:rPr>
                              <w:t>Complimentary Financial Check-up</w:t>
                            </w:r>
                            <w:r w:rsidRPr="005E5B21">
                              <w:rPr>
                                <w:rFonts w:cstheme="minorHAnsi"/>
                                <w:color w:val="003399"/>
                                <w:sz w:val="20"/>
                                <w:szCs w:val="20"/>
                              </w:rPr>
                              <w:br/>
                            </w:r>
                            <w:r w:rsidRPr="005E5B21">
                              <w:rPr>
                                <w:rFonts w:cstheme="minorHAnsi"/>
                                <w:color w:val="003399"/>
                                <w:sz w:val="8"/>
                                <w:szCs w:val="8"/>
                              </w:rPr>
                              <w:br/>
                            </w:r>
                            <w:r w:rsidRPr="005E5B21">
                              <w:rPr>
                                <w:rFonts w:cstheme="minorHAnsi"/>
                                <w:b/>
                                <w:bCs/>
                                <w:color w:val="003399"/>
                                <w:sz w:val="22"/>
                                <w:szCs w:val="22"/>
                              </w:rPr>
                              <w:t xml:space="preserve">Our goal this year is to help more people with their financial decisions.  </w:t>
                            </w:r>
                          </w:p>
                          <w:p w14:paraId="7C221AD0" w14:textId="7A5F00FC" w:rsidR="00023DC8" w:rsidRPr="005E5B21" w:rsidRDefault="00023DC8" w:rsidP="00023DC8">
                            <w:pPr>
                              <w:pStyle w:val="Footer"/>
                              <w:ind w:left="90" w:right="1"/>
                              <w:jc w:val="center"/>
                              <w:rPr>
                                <w:rFonts w:cstheme="minorHAnsi"/>
                                <w:b/>
                                <w:bCs/>
                                <w:color w:val="000000" w:themeColor="text1"/>
                                <w:sz w:val="20"/>
                                <w:szCs w:val="20"/>
                              </w:rPr>
                            </w:pPr>
                            <w:r w:rsidRPr="00F32FDE">
                              <w:rPr>
                                <w:rFonts w:cstheme="minorHAnsi"/>
                                <w:b/>
                                <w:bCs/>
                                <w:color w:val="000000" w:themeColor="text1"/>
                                <w:sz w:val="2"/>
                                <w:szCs w:val="2"/>
                              </w:rPr>
                              <w:br/>
                            </w:r>
                            <w:r w:rsidRPr="005E5B21">
                              <w:rPr>
                                <w:rFonts w:cstheme="minorHAnsi"/>
                                <w:color w:val="000000" w:themeColor="text1"/>
                                <w:sz w:val="2"/>
                                <w:szCs w:val="2"/>
                              </w:rPr>
                              <w:br/>
                            </w:r>
                            <w:r w:rsidRPr="005E5B21">
                              <w:rPr>
                                <w:rFonts w:cstheme="minorHAnsi"/>
                                <w:color w:val="000000" w:themeColor="text1"/>
                                <w:sz w:val="20"/>
                                <w:szCs w:val="20"/>
                              </w:rPr>
                              <w:t xml:space="preserve">If you are </w:t>
                            </w:r>
                            <w:r w:rsidRPr="00F92CDC">
                              <w:rPr>
                                <w:rFonts w:cstheme="minorHAnsi"/>
                                <w:color w:val="000000" w:themeColor="text1"/>
                                <w:sz w:val="20"/>
                                <w:szCs w:val="20"/>
                              </w:rPr>
                              <w:t xml:space="preserve">not a client of </w:t>
                            </w:r>
                            <w:r w:rsidR="000F4642">
                              <w:rPr>
                                <w:rFonts w:cstheme="minorHAnsi"/>
                                <w:color w:val="000000" w:themeColor="text1"/>
                                <w:sz w:val="20"/>
                                <w:szCs w:val="20"/>
                              </w:rPr>
                              <w:t>Wealthbuilders</w:t>
                            </w:r>
                            <w:r w:rsidRPr="00F92CDC">
                              <w:rPr>
                                <w:rFonts w:cstheme="minorHAnsi"/>
                                <w:color w:val="000000" w:themeColor="text1"/>
                                <w:sz w:val="20"/>
                                <w:szCs w:val="20"/>
                              </w:rPr>
                              <w:t>, we would like to offer you a complimentary, one-hour, private consultation with one of our professionals at absolutely no cost or obligation</w:t>
                            </w:r>
                            <w:r w:rsidRPr="005E5B21">
                              <w:rPr>
                                <w:rFonts w:cstheme="minorHAnsi"/>
                                <w:color w:val="000000" w:themeColor="text1"/>
                                <w:sz w:val="20"/>
                                <w:szCs w:val="20"/>
                              </w:rPr>
                              <w:t xml:space="preserve">. </w:t>
                            </w:r>
                            <w:r w:rsidRPr="005E5B21">
                              <w:rPr>
                                <w:rFonts w:cstheme="minorHAnsi"/>
                                <w:color w:val="000000" w:themeColor="text1"/>
                                <w:sz w:val="22"/>
                                <w:szCs w:val="2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2"/>
                                <w:szCs w:val="22"/>
                              </w:rPr>
                              <w:t xml:space="preserve">To schedule your </w:t>
                            </w:r>
                            <w:r w:rsidR="000F4642">
                              <w:rPr>
                                <w:rFonts w:cstheme="minorHAnsi"/>
                                <w:b/>
                                <w:bCs/>
                                <w:color w:val="000000" w:themeColor="text1"/>
                                <w:sz w:val="22"/>
                                <w:szCs w:val="22"/>
                              </w:rPr>
                              <w:t>financial check-up, please call CAROL (727) 843-0151</w:t>
                            </w:r>
                            <w:r w:rsidRPr="005E5B21">
                              <w:rPr>
                                <w:rFonts w:cstheme="minorHAnsi"/>
                                <w:b/>
                                <w:bCs/>
                                <w:color w:val="000000" w:themeColor="text1"/>
                                <w:sz w:val="22"/>
                                <w:szCs w:val="22"/>
                              </w:rPr>
                              <w:t>.</w:t>
                            </w:r>
                          </w:p>
                          <w:p w14:paraId="7DE35B0B" w14:textId="77777777" w:rsidR="0008381F" w:rsidRPr="005E7FB9" w:rsidRDefault="0008381F" w:rsidP="0008381F">
                            <w:pPr>
                              <w:pStyle w:val="Footer"/>
                              <w:tabs>
                                <w:tab w:val="clear" w:pos="4680"/>
                                <w:tab w:val="clear" w:pos="9360"/>
                              </w:tabs>
                              <w:ind w:right="9"/>
                              <w:jc w:val="center"/>
                              <w:rPr>
                                <w:rFonts w:ascii="Franklin Gothic Demi" w:hAnsi="Franklin Gothic Demi" w:cstheme="minorHAnsi"/>
                                <w:color w:val="171717" w:themeColor="background2" w:themeShade="1A"/>
                                <w:sz w:val="20"/>
                                <w:szCs w:val="20"/>
                              </w:rPr>
                            </w:pPr>
                          </w:p>
                          <w:p w14:paraId="1628B02E" w14:textId="77777777" w:rsidR="0008381F" w:rsidRPr="005E7FB9" w:rsidRDefault="0008381F" w:rsidP="0008381F">
                            <w:pPr>
                              <w:pStyle w:val="Footer"/>
                              <w:tabs>
                                <w:tab w:val="clear" w:pos="4680"/>
                                <w:tab w:val="clear" w:pos="9360"/>
                              </w:tabs>
                              <w:spacing w:line="276" w:lineRule="auto"/>
                              <w:ind w:left="3690" w:right="30"/>
                              <w:jc w:val="center"/>
                              <w:rPr>
                                <w:rFonts w:ascii="Franklin Gothic Demi" w:hAnsi="Franklin Gothic Demi" w:cstheme="minorHAnsi"/>
                                <w:color w:val="1F4E79" w:themeColor="accent5" w:themeShade="80"/>
                                <w:sz w:val="28"/>
                                <w:szCs w:val="28"/>
                              </w:rPr>
                            </w:pPr>
                            <w:r w:rsidRPr="005E7FB9">
                              <w:rPr>
                                <w:rFonts w:ascii="Franklin Gothic Demi" w:hAnsi="Franklin Gothic Demi" w:cstheme="minorHAnsi"/>
                                <w:color w:val="1F4E79" w:themeColor="accent5" w:themeShade="80"/>
                                <w:sz w:val="28"/>
                                <w:szCs w:val="28"/>
                              </w:rPr>
                              <w:br/>
                            </w:r>
                          </w:p>
                          <w:p w14:paraId="31FB9FDD" w14:textId="77777777" w:rsidR="0008381F" w:rsidRPr="005E7FB9" w:rsidRDefault="0008381F" w:rsidP="0008381F">
                            <w:pPr>
                              <w:pStyle w:val="Footer"/>
                              <w:tabs>
                                <w:tab w:val="clear" w:pos="4680"/>
                                <w:tab w:val="clear" w:pos="9360"/>
                              </w:tabs>
                              <w:spacing w:line="276" w:lineRule="auto"/>
                              <w:ind w:right="-87"/>
                              <w:jc w:val="center"/>
                              <w:rPr>
                                <w:rFonts w:ascii="Franklin Gothic Demi" w:hAnsi="Franklin Gothic Demi"/>
                                <w:color w:val="1F4E79"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8A002" id="_x0000_t202" coordsize="21600,21600" o:spt="202" path="m,l,21600r21600,l21600,xe">
                <v:stroke joinstyle="miter"/>
                <v:path gradientshapeok="t" o:connecttype="rect"/>
              </v:shapetype>
              <v:shape id="Text Box 7" o:spid="_x0000_s1027" type="#_x0000_t202" style="position:absolute;left:0;text-align:left;margin-left:-7.5pt;margin-top:396pt;width:530.25pt;height:94.5pt;flip:y;z-index:-2513500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" filled="f" strokecolor="#1f3763 [1604]" strokeweight="3pt">
                <v:stroke linestyle="thinThin" joinstyle="bevel" endcap="square"/>
                <v:textbox>
                  <w:txbxContent>
                    <w:p w14:paraId="05A73ED5" w14:textId="77777777" w:rsidR="00023DC8" w:rsidRPr="005E5B21" w:rsidRDefault="00023DC8" w:rsidP="00023DC8">
                      <w:pPr>
                        <w:pStyle w:val="Footer"/>
                        <w:tabs>
                          <w:tab w:val="clear" w:pos="4680"/>
                        </w:tabs>
                        <w:ind w:left="90" w:right="1"/>
                        <w:jc w:val="center"/>
                        <w:rPr>
                          <w:rFonts w:ascii="Arial Narrow" w:hAnsi="Arial Narrow" w:cstheme="minorHAnsi"/>
                          <w:b/>
                          <w:iCs/>
                          <w:color w:val="003399"/>
                          <w:sz w:val="32"/>
                          <w:szCs w:val="36"/>
                        </w:rPr>
                      </w:pPr>
                      <w:r w:rsidRPr="005E5B21">
                        <w:rPr>
                          <w:rFonts w:ascii="Arial Narrow" w:hAnsi="Arial Narrow" w:cstheme="minorHAnsi"/>
                          <w:b/>
                          <w:iCs/>
                          <w:color w:val="003399"/>
                          <w:sz w:val="32"/>
                          <w:szCs w:val="36"/>
                        </w:rPr>
                        <w:t>Complimentary Financial Check-up</w:t>
                      </w:r>
                      <w:r w:rsidRPr="005E5B21">
                        <w:rPr>
                          <w:rFonts w:cstheme="minorHAnsi"/>
                          <w:color w:val="003399"/>
                          <w:sz w:val="20"/>
                          <w:szCs w:val="20"/>
                        </w:rPr>
                        <w:br/>
                      </w:r>
                      <w:r w:rsidRPr="005E5B21">
                        <w:rPr>
                          <w:rFonts w:cstheme="minorHAnsi"/>
                          <w:color w:val="003399"/>
                          <w:sz w:val="8"/>
                          <w:szCs w:val="8"/>
                        </w:rPr>
                        <w:br/>
                      </w:r>
                      <w:r w:rsidRPr="005E5B21">
                        <w:rPr>
                          <w:rFonts w:cstheme="minorHAnsi"/>
                          <w:b/>
                          <w:bCs/>
                          <w:color w:val="003399"/>
                          <w:sz w:val="22"/>
                          <w:szCs w:val="22"/>
                        </w:rPr>
                        <w:t xml:space="preserve">Our goal this year is to help more people with their financial decisions.  </w:t>
                      </w:r>
                    </w:p>
                    <w:p w14:paraId="7C221AD0" w14:textId="7A5F00FC" w:rsidR="00023DC8" w:rsidRPr="005E5B21" w:rsidRDefault="00023DC8" w:rsidP="00023DC8">
                      <w:pPr>
                        <w:pStyle w:val="Footer"/>
                        <w:ind w:left="90" w:right="1"/>
                        <w:jc w:val="center"/>
                        <w:rPr>
                          <w:rFonts w:cstheme="minorHAnsi"/>
                          <w:b/>
                          <w:bCs/>
                          <w:color w:val="000000" w:themeColor="text1"/>
                          <w:sz w:val="20"/>
                          <w:szCs w:val="20"/>
                        </w:rPr>
                      </w:pPr>
                      <w:r w:rsidRPr="00F32FDE">
                        <w:rPr>
                          <w:rFonts w:cstheme="minorHAnsi"/>
                          <w:b/>
                          <w:bCs/>
                          <w:color w:val="000000" w:themeColor="text1"/>
                          <w:sz w:val="2"/>
                          <w:szCs w:val="2"/>
                        </w:rPr>
                        <w:br/>
                      </w:r>
                      <w:r w:rsidRPr="005E5B21">
                        <w:rPr>
                          <w:rFonts w:cstheme="minorHAnsi"/>
                          <w:color w:val="000000" w:themeColor="text1"/>
                          <w:sz w:val="2"/>
                          <w:szCs w:val="2"/>
                        </w:rPr>
                        <w:br/>
                      </w:r>
                      <w:r w:rsidRPr="005E5B21">
                        <w:rPr>
                          <w:rFonts w:cstheme="minorHAnsi"/>
                          <w:color w:val="000000" w:themeColor="text1"/>
                          <w:sz w:val="20"/>
                          <w:szCs w:val="20"/>
                        </w:rPr>
                        <w:t xml:space="preserve">If you are </w:t>
                      </w:r>
                      <w:r w:rsidRPr="00F92CDC">
                        <w:rPr>
                          <w:rFonts w:cstheme="minorHAnsi"/>
                          <w:color w:val="000000" w:themeColor="text1"/>
                          <w:sz w:val="20"/>
                          <w:szCs w:val="20"/>
                        </w:rPr>
                        <w:t xml:space="preserve">not a client of </w:t>
                      </w:r>
                      <w:proofErr w:type="spellStart"/>
                      <w:r w:rsidR="000F4642">
                        <w:rPr>
                          <w:rFonts w:cstheme="minorHAnsi"/>
                          <w:color w:val="000000" w:themeColor="text1"/>
                          <w:sz w:val="20"/>
                          <w:szCs w:val="20"/>
                        </w:rPr>
                        <w:t>Wealthbuilders</w:t>
                      </w:r>
                      <w:proofErr w:type="spellEnd"/>
                      <w:r w:rsidRPr="00F92CDC">
                        <w:rPr>
                          <w:rFonts w:cstheme="minorHAnsi"/>
                          <w:color w:val="000000" w:themeColor="text1"/>
                          <w:sz w:val="20"/>
                          <w:szCs w:val="20"/>
                        </w:rPr>
                        <w:t>, we would like to offer you a complimentary, one-hour, private consultation with one of our professionals at absolutely no cost or obligation</w:t>
                      </w:r>
                      <w:r w:rsidRPr="005E5B21">
                        <w:rPr>
                          <w:rFonts w:cstheme="minorHAnsi"/>
                          <w:color w:val="000000" w:themeColor="text1"/>
                          <w:sz w:val="20"/>
                          <w:szCs w:val="20"/>
                        </w:rPr>
                        <w:t xml:space="preserve">. </w:t>
                      </w:r>
                      <w:r w:rsidRPr="005E5B21">
                        <w:rPr>
                          <w:rFonts w:cstheme="minorHAnsi"/>
                          <w:color w:val="000000" w:themeColor="text1"/>
                          <w:sz w:val="22"/>
                          <w:szCs w:val="2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
                          <w:szCs w:val="2"/>
                        </w:rPr>
                        <w:br/>
                      </w:r>
                      <w:r w:rsidRPr="005E5B21">
                        <w:rPr>
                          <w:rFonts w:cstheme="minorHAnsi"/>
                          <w:b/>
                          <w:bCs/>
                          <w:color w:val="000000" w:themeColor="text1"/>
                          <w:sz w:val="22"/>
                          <w:szCs w:val="22"/>
                        </w:rPr>
                        <w:t xml:space="preserve">To schedule your </w:t>
                      </w:r>
                      <w:r w:rsidR="000F4642">
                        <w:rPr>
                          <w:rFonts w:cstheme="minorHAnsi"/>
                          <w:b/>
                          <w:bCs/>
                          <w:color w:val="000000" w:themeColor="text1"/>
                          <w:sz w:val="22"/>
                          <w:szCs w:val="22"/>
                        </w:rPr>
                        <w:t>financial check-up, please call CAROL (727) 843-0151</w:t>
                      </w:r>
                      <w:r w:rsidRPr="005E5B21">
                        <w:rPr>
                          <w:rFonts w:cstheme="minorHAnsi"/>
                          <w:b/>
                          <w:bCs/>
                          <w:color w:val="000000" w:themeColor="text1"/>
                          <w:sz w:val="22"/>
                          <w:szCs w:val="22"/>
                        </w:rPr>
                        <w:t>.</w:t>
                      </w:r>
                      <w:bookmarkStart w:id="10" w:name="_GoBack"/>
                      <w:bookmarkEnd w:id="10"/>
                    </w:p>
                    <w:p w14:paraId="7DE35B0B" w14:textId="77777777" w:rsidR="0008381F" w:rsidRPr="005E7FB9" w:rsidRDefault="0008381F" w:rsidP="0008381F">
                      <w:pPr>
                        <w:pStyle w:val="Footer"/>
                        <w:tabs>
                          <w:tab w:val="clear" w:pos="4680"/>
                          <w:tab w:val="clear" w:pos="9360"/>
                        </w:tabs>
                        <w:ind w:right="9"/>
                        <w:jc w:val="center"/>
                        <w:rPr>
                          <w:rFonts w:ascii="Franklin Gothic Demi" w:hAnsi="Franklin Gothic Demi" w:cstheme="minorHAnsi"/>
                          <w:color w:val="171717" w:themeColor="background2" w:themeShade="1A"/>
                          <w:sz w:val="20"/>
                          <w:szCs w:val="20"/>
                        </w:rPr>
                      </w:pPr>
                    </w:p>
                    <w:p w14:paraId="1628B02E" w14:textId="77777777" w:rsidR="0008381F" w:rsidRPr="005E7FB9" w:rsidRDefault="0008381F" w:rsidP="0008381F">
                      <w:pPr>
                        <w:pStyle w:val="Footer"/>
                        <w:tabs>
                          <w:tab w:val="clear" w:pos="4680"/>
                          <w:tab w:val="clear" w:pos="9360"/>
                        </w:tabs>
                        <w:spacing w:line="276" w:lineRule="auto"/>
                        <w:ind w:left="3690" w:right="30"/>
                        <w:jc w:val="center"/>
                        <w:rPr>
                          <w:rFonts w:ascii="Franklin Gothic Demi" w:hAnsi="Franklin Gothic Demi" w:cstheme="minorHAnsi"/>
                          <w:color w:val="1F4E79" w:themeColor="accent5" w:themeShade="80"/>
                          <w:sz w:val="28"/>
                          <w:szCs w:val="28"/>
                        </w:rPr>
                      </w:pPr>
                      <w:r w:rsidRPr="005E7FB9">
                        <w:rPr>
                          <w:rFonts w:ascii="Franklin Gothic Demi" w:hAnsi="Franklin Gothic Demi" w:cstheme="minorHAnsi"/>
                          <w:color w:val="1F4E79" w:themeColor="accent5" w:themeShade="80"/>
                          <w:sz w:val="28"/>
                          <w:szCs w:val="28"/>
                        </w:rPr>
                        <w:br/>
                      </w:r>
                    </w:p>
                    <w:p w14:paraId="31FB9FDD" w14:textId="77777777" w:rsidR="0008381F" w:rsidRPr="005E7FB9" w:rsidRDefault="0008381F" w:rsidP="0008381F">
                      <w:pPr>
                        <w:pStyle w:val="Footer"/>
                        <w:tabs>
                          <w:tab w:val="clear" w:pos="4680"/>
                          <w:tab w:val="clear" w:pos="9360"/>
                        </w:tabs>
                        <w:spacing w:line="276" w:lineRule="auto"/>
                        <w:ind w:right="-87"/>
                        <w:jc w:val="center"/>
                        <w:rPr>
                          <w:rFonts w:ascii="Franklin Gothic Demi" w:hAnsi="Franklin Gothic Demi"/>
                          <w:color w:val="1F4E79" w:themeColor="accent5" w:themeShade="80"/>
                        </w:rPr>
                      </w:pPr>
                    </w:p>
                  </w:txbxContent>
                </v:textbox>
                <w10:wrap type="square" anchorx="margin" anchory="margin"/>
              </v:shape>
            </w:pict>
          </mc:Fallback>
        </mc:AlternateContent>
      </w:r>
      <w:r w:rsidR="00907932" w:rsidRPr="00ED73A8">
        <w:rPr>
          <w:rFonts w:eastAsiaTheme="minorEastAsia"/>
          <w:sz w:val="21"/>
          <w:szCs w:val="21"/>
        </w:rPr>
        <w:t xml:space="preserve">We believe that speculation is not a good strategy. Instead, staying vigilant and focused on your own </w:t>
      </w:r>
      <w:r w:rsidR="00255AD9" w:rsidRPr="00ED73A8">
        <w:rPr>
          <w:rFonts w:eastAsiaTheme="minorEastAsia"/>
          <w:sz w:val="21"/>
          <w:szCs w:val="21"/>
        </w:rPr>
        <w:t xml:space="preserve">well-devised, </w:t>
      </w:r>
      <w:r w:rsidR="00907932" w:rsidRPr="00ED73A8">
        <w:rPr>
          <w:rFonts w:eastAsiaTheme="minorEastAsia"/>
          <w:sz w:val="21"/>
          <w:szCs w:val="21"/>
        </w:rPr>
        <w:t>long-term personal situation is a wise</w:t>
      </w:r>
      <w:r w:rsidR="00255AD9" w:rsidRPr="00ED73A8">
        <w:rPr>
          <w:rFonts w:eastAsiaTheme="minorEastAsia"/>
          <w:sz w:val="21"/>
          <w:szCs w:val="21"/>
        </w:rPr>
        <w:t>r</w:t>
      </w:r>
      <w:r w:rsidR="00907932" w:rsidRPr="00ED73A8">
        <w:rPr>
          <w:rFonts w:eastAsiaTheme="minorEastAsia"/>
          <w:sz w:val="21"/>
          <w:szCs w:val="21"/>
        </w:rPr>
        <w:t xml:space="preserve"> investment strategy. </w:t>
      </w:r>
      <w:r w:rsidR="00E47B0D" w:rsidRPr="00ED73A8">
        <w:rPr>
          <w:rFonts w:eastAsiaTheme="minorEastAsia"/>
          <w:b/>
          <w:bCs/>
          <w:sz w:val="21"/>
          <w:szCs w:val="21"/>
        </w:rPr>
        <w:t xml:space="preserve">We also believe an educated client is the best client, and we strive to keep </w:t>
      </w:r>
      <w:r w:rsidR="00977E13">
        <w:rPr>
          <w:rFonts w:eastAsiaTheme="minorEastAsia"/>
          <w:b/>
          <w:bCs/>
          <w:sz w:val="21"/>
          <w:szCs w:val="21"/>
        </w:rPr>
        <w:t>our clients</w:t>
      </w:r>
      <w:r w:rsidR="00E47B0D" w:rsidRPr="00ED73A8">
        <w:rPr>
          <w:rFonts w:eastAsiaTheme="minorEastAsia"/>
          <w:b/>
          <w:bCs/>
          <w:sz w:val="21"/>
          <w:szCs w:val="21"/>
        </w:rPr>
        <w:t xml:space="preserve"> updated on areas that could affect </w:t>
      </w:r>
      <w:r w:rsidR="00977E13">
        <w:rPr>
          <w:rFonts w:eastAsiaTheme="minorEastAsia"/>
          <w:b/>
          <w:bCs/>
          <w:sz w:val="21"/>
          <w:szCs w:val="21"/>
        </w:rPr>
        <w:t>their</w:t>
      </w:r>
      <w:r w:rsidR="00E47B0D" w:rsidRPr="00ED73A8">
        <w:rPr>
          <w:rFonts w:eastAsiaTheme="minorEastAsia"/>
          <w:b/>
          <w:bCs/>
          <w:sz w:val="21"/>
          <w:szCs w:val="21"/>
        </w:rPr>
        <w:t xml:space="preserve"> situation. </w:t>
      </w:r>
    </w:p>
    <w:p w14:paraId="25B5216C" w14:textId="5E81359D" w:rsidR="00691973" w:rsidRPr="00ED73A8" w:rsidRDefault="00691973" w:rsidP="000E6FEA">
      <w:pPr>
        <w:pStyle w:val="NormalWeb"/>
        <w:spacing w:before="0" w:beforeAutospacing="0" w:after="0" w:afterAutospacing="0"/>
        <w:jc w:val="both"/>
        <w:textAlignment w:val="baseline"/>
        <w:rPr>
          <w:rFonts w:eastAsiaTheme="minorEastAsia"/>
          <w:b/>
          <w:bCs/>
          <w:sz w:val="21"/>
          <w:szCs w:val="21"/>
        </w:rPr>
      </w:pPr>
    </w:p>
    <w:p w14:paraId="73056416" w14:textId="7601003B" w:rsidR="0062621C" w:rsidRPr="00ED73A8" w:rsidRDefault="001C00AB" w:rsidP="000E6FEA">
      <w:pPr>
        <w:pStyle w:val="NormalWeb"/>
        <w:spacing w:before="0" w:beforeAutospacing="0" w:after="0" w:afterAutospacing="0"/>
        <w:jc w:val="both"/>
        <w:textAlignment w:val="baseline"/>
        <w:rPr>
          <w:rFonts w:eastAsiaTheme="minorEastAsia"/>
          <w:b/>
          <w:bCs/>
          <w:sz w:val="21"/>
          <w:szCs w:val="21"/>
        </w:rPr>
      </w:pPr>
      <w:r w:rsidRPr="00ED73A8">
        <w:rPr>
          <w:rFonts w:eastAsiaTheme="minorEastAsia"/>
          <w:b/>
          <w:bCs/>
          <w:sz w:val="21"/>
          <w:szCs w:val="21"/>
        </w:rPr>
        <w:t xml:space="preserve">Now, as always, is a time to stay focused on your personal objectives. One of our </w:t>
      </w:r>
      <w:r w:rsidR="0047699E" w:rsidRPr="00ED73A8">
        <w:rPr>
          <w:rFonts w:eastAsiaTheme="minorEastAsia"/>
          <w:b/>
          <w:bCs/>
          <w:sz w:val="21"/>
          <w:szCs w:val="21"/>
        </w:rPr>
        <w:t xml:space="preserve">main </w:t>
      </w:r>
      <w:r w:rsidRPr="00ED73A8">
        <w:rPr>
          <w:rFonts w:eastAsiaTheme="minorEastAsia"/>
          <w:b/>
          <w:bCs/>
          <w:sz w:val="21"/>
          <w:szCs w:val="21"/>
        </w:rPr>
        <w:t xml:space="preserve">goals is to help </w:t>
      </w:r>
      <w:r w:rsidR="00977E13">
        <w:rPr>
          <w:rFonts w:eastAsiaTheme="minorEastAsia"/>
          <w:b/>
          <w:bCs/>
          <w:sz w:val="21"/>
          <w:szCs w:val="21"/>
        </w:rPr>
        <w:t>our clients</w:t>
      </w:r>
      <w:r w:rsidRPr="00ED73A8">
        <w:rPr>
          <w:rFonts w:eastAsiaTheme="minorEastAsia"/>
          <w:b/>
          <w:bCs/>
          <w:sz w:val="21"/>
          <w:szCs w:val="21"/>
        </w:rPr>
        <w:t xml:space="preserve"> create a solid financial strategy that considers </w:t>
      </w:r>
      <w:r w:rsidR="00977E13">
        <w:rPr>
          <w:rFonts w:eastAsiaTheme="minorEastAsia"/>
          <w:b/>
          <w:bCs/>
          <w:sz w:val="21"/>
          <w:szCs w:val="21"/>
        </w:rPr>
        <w:t>their</w:t>
      </w:r>
      <w:r w:rsidRPr="00ED73A8">
        <w:rPr>
          <w:rFonts w:eastAsiaTheme="minorEastAsia"/>
          <w:b/>
          <w:bCs/>
          <w:sz w:val="21"/>
          <w:szCs w:val="21"/>
        </w:rPr>
        <w:t xml:space="preserve"> risk tolerance, time horizon, and potential tax implications. </w:t>
      </w:r>
      <w:r w:rsidR="0062621C" w:rsidRPr="00ED73A8">
        <w:rPr>
          <w:rFonts w:eastAsiaTheme="minorEastAsia"/>
          <w:b/>
          <w:bCs/>
          <w:sz w:val="21"/>
          <w:szCs w:val="21"/>
        </w:rPr>
        <w:t>As a reminder, focus on what you can control</w:t>
      </w:r>
      <w:r w:rsidR="00177A77" w:rsidRPr="00ED73A8">
        <w:rPr>
          <w:rFonts w:eastAsiaTheme="minorEastAsia"/>
          <w:b/>
          <w:bCs/>
          <w:sz w:val="21"/>
          <w:szCs w:val="21"/>
        </w:rPr>
        <w:t xml:space="preserve"> - which</w:t>
      </w:r>
      <w:r w:rsidR="0062621C" w:rsidRPr="00ED73A8">
        <w:rPr>
          <w:rFonts w:eastAsiaTheme="minorEastAsia"/>
          <w:b/>
          <w:bCs/>
          <w:sz w:val="21"/>
          <w:szCs w:val="21"/>
        </w:rPr>
        <w:t xml:space="preserve"> is your time horizon</w:t>
      </w:r>
      <w:r w:rsidR="00177A77" w:rsidRPr="00ED73A8">
        <w:rPr>
          <w:rFonts w:eastAsiaTheme="minorEastAsia"/>
          <w:b/>
          <w:bCs/>
          <w:sz w:val="21"/>
          <w:szCs w:val="21"/>
        </w:rPr>
        <w:t xml:space="preserve">, </w:t>
      </w:r>
      <w:r w:rsidR="0062621C" w:rsidRPr="00ED73A8">
        <w:rPr>
          <w:rFonts w:eastAsiaTheme="minorEastAsia"/>
          <w:b/>
          <w:bCs/>
          <w:sz w:val="21"/>
          <w:szCs w:val="21"/>
        </w:rPr>
        <w:t>your risk appetite</w:t>
      </w:r>
      <w:r w:rsidR="00177A77" w:rsidRPr="00ED73A8">
        <w:rPr>
          <w:rFonts w:eastAsiaTheme="minorEastAsia"/>
          <w:b/>
          <w:bCs/>
          <w:sz w:val="21"/>
          <w:szCs w:val="21"/>
        </w:rPr>
        <w:t>, and emotional-investing behavior</w:t>
      </w:r>
      <w:r w:rsidR="0062621C" w:rsidRPr="00ED73A8">
        <w:rPr>
          <w:rFonts w:eastAsiaTheme="minorEastAsia"/>
          <w:b/>
          <w:bCs/>
          <w:sz w:val="21"/>
          <w:szCs w:val="21"/>
        </w:rPr>
        <w:t xml:space="preserve">. </w:t>
      </w:r>
    </w:p>
    <w:p w14:paraId="1DD18E13" w14:textId="6C93AFD9" w:rsidR="008E1A96" w:rsidRPr="005D2443" w:rsidRDefault="0022216A" w:rsidP="005D2443">
      <w:pPr>
        <w:pStyle w:val="NormalWeb"/>
        <w:spacing w:before="0" w:beforeAutospacing="0" w:after="0" w:afterAutospacing="0"/>
        <w:jc w:val="both"/>
        <w:textAlignment w:val="baseline"/>
        <w:rPr>
          <w:rFonts w:eastAsiaTheme="minorHAnsi"/>
          <w:b/>
          <w:bCs/>
          <w:sz w:val="21"/>
          <w:szCs w:val="21"/>
        </w:rPr>
      </w:pPr>
      <w:r w:rsidRPr="00ED73A8">
        <w:rPr>
          <w:rFonts w:eastAsiaTheme="minorHAnsi"/>
          <w:b/>
          <w:bCs/>
          <w:sz w:val="21"/>
          <w:szCs w:val="21"/>
        </w:rPr>
        <w:br/>
      </w:r>
      <w:r w:rsidR="006C3EFC">
        <w:rPr>
          <w:rFonts w:eastAsiaTheme="minorHAnsi"/>
          <w:b/>
          <w:bCs/>
          <w:sz w:val="21"/>
          <w:szCs w:val="21"/>
        </w:rPr>
        <w:t xml:space="preserve">If you would like us to look at </w:t>
      </w:r>
      <w:r w:rsidRPr="00ED73A8">
        <w:rPr>
          <w:rFonts w:eastAsiaTheme="minorHAnsi"/>
          <w:b/>
          <w:bCs/>
          <w:sz w:val="21"/>
          <w:szCs w:val="21"/>
        </w:rPr>
        <w:t xml:space="preserve">your financial situation, please </w:t>
      </w:r>
      <w:r w:rsidR="00A76512" w:rsidRPr="00ED73A8">
        <w:rPr>
          <w:rFonts w:eastAsiaTheme="minorHAnsi"/>
          <w:b/>
          <w:bCs/>
          <w:sz w:val="21"/>
          <w:szCs w:val="21"/>
        </w:rPr>
        <w:t>contact</w:t>
      </w:r>
      <w:r w:rsidRPr="00ED73A8">
        <w:rPr>
          <w:rFonts w:eastAsiaTheme="minorHAnsi"/>
          <w:b/>
          <w:bCs/>
          <w:sz w:val="21"/>
          <w:szCs w:val="21"/>
        </w:rPr>
        <w:t xml:space="preserve"> us. </w:t>
      </w:r>
      <w:r w:rsidR="001C00AB" w:rsidRPr="00ED73A8">
        <w:rPr>
          <w:rFonts w:eastAsiaTheme="minorHAnsi"/>
          <w:sz w:val="21"/>
          <w:szCs w:val="21"/>
        </w:rPr>
        <w:t xml:space="preserve">We always recommend discussing any </w:t>
      </w:r>
      <w:r w:rsidR="00B16ED5" w:rsidRPr="00ED73A8">
        <w:rPr>
          <w:rFonts w:eastAsiaTheme="minorHAnsi"/>
          <w:sz w:val="21"/>
          <w:szCs w:val="21"/>
        </w:rPr>
        <w:t xml:space="preserve">potential </w:t>
      </w:r>
      <w:r w:rsidR="001C00AB" w:rsidRPr="00ED73A8">
        <w:rPr>
          <w:rFonts w:eastAsiaTheme="minorHAnsi"/>
          <w:sz w:val="21"/>
          <w:szCs w:val="21"/>
        </w:rPr>
        <w:t xml:space="preserve">changes, concerns, or ideas that you may have with </w:t>
      </w:r>
      <w:r w:rsidR="00977E13">
        <w:rPr>
          <w:rFonts w:eastAsiaTheme="minorHAnsi"/>
          <w:sz w:val="21"/>
          <w:szCs w:val="21"/>
        </w:rPr>
        <w:t>a qualified financial professional</w:t>
      </w:r>
      <w:r w:rsidR="001C00AB" w:rsidRPr="00ED73A8">
        <w:rPr>
          <w:rFonts w:eastAsiaTheme="minorHAnsi"/>
          <w:sz w:val="21"/>
          <w:szCs w:val="21"/>
        </w:rPr>
        <w:t xml:space="preserve"> </w:t>
      </w:r>
      <w:r w:rsidR="00977E13">
        <w:rPr>
          <w:rFonts w:eastAsiaTheme="minorHAnsi"/>
          <w:sz w:val="21"/>
          <w:szCs w:val="21"/>
        </w:rPr>
        <w:t>bef</w:t>
      </w:r>
      <w:r w:rsidR="001C00AB" w:rsidRPr="00ED73A8">
        <w:rPr>
          <w:rFonts w:eastAsiaTheme="minorHAnsi"/>
          <w:sz w:val="21"/>
          <w:szCs w:val="21"/>
        </w:rPr>
        <w:t>or</w:t>
      </w:r>
      <w:r w:rsidR="00977E13">
        <w:rPr>
          <w:rFonts w:eastAsiaTheme="minorHAnsi"/>
          <w:sz w:val="21"/>
          <w:szCs w:val="21"/>
        </w:rPr>
        <w:t>e</w:t>
      </w:r>
      <w:r w:rsidR="001C00AB" w:rsidRPr="00ED73A8">
        <w:rPr>
          <w:rFonts w:eastAsiaTheme="minorHAnsi"/>
          <w:sz w:val="21"/>
          <w:szCs w:val="21"/>
        </w:rPr>
        <w:t xml:space="preserve"> making any financial decisions so </w:t>
      </w:r>
      <w:r w:rsidR="00977E13">
        <w:rPr>
          <w:rFonts w:eastAsiaTheme="minorHAnsi"/>
          <w:sz w:val="21"/>
          <w:szCs w:val="21"/>
        </w:rPr>
        <w:t>they</w:t>
      </w:r>
      <w:r w:rsidR="001C00AB" w:rsidRPr="00ED73A8">
        <w:rPr>
          <w:rFonts w:eastAsiaTheme="minorHAnsi"/>
          <w:sz w:val="21"/>
          <w:szCs w:val="21"/>
        </w:rPr>
        <w:t xml:space="preserve"> can help you determine your best strategy and make sure your plan is still in alignment with your goals</w:t>
      </w:r>
      <w:r w:rsidR="001C00AB" w:rsidRPr="00ED73A8">
        <w:rPr>
          <w:rFonts w:eastAsiaTheme="minorHAnsi"/>
          <w:b/>
          <w:bCs/>
          <w:sz w:val="21"/>
          <w:szCs w:val="21"/>
        </w:rPr>
        <w:t>.</w:t>
      </w:r>
      <w:bookmarkEnd w:id="0"/>
    </w:p>
    <w:p w14:paraId="7BDC3646" w14:textId="1FB22619" w:rsidR="0056320E" w:rsidRPr="00ED73A8" w:rsidRDefault="0056320E" w:rsidP="003774A8">
      <w:pPr>
        <w:pStyle w:val="NormalWeb"/>
        <w:spacing w:before="0" w:beforeAutospacing="0" w:after="0" w:afterAutospacing="0"/>
        <w:jc w:val="both"/>
        <w:textAlignment w:val="baseline"/>
        <w:rPr>
          <w:rFonts w:eastAsiaTheme="minorHAnsi"/>
          <w:color w:val="7030A0"/>
          <w:sz w:val="21"/>
          <w:szCs w:val="21"/>
        </w:rPr>
        <w:sectPr w:rsidR="0056320E" w:rsidRPr="00ED73A8" w:rsidSect="00FC6A1E">
          <w:type w:val="continuous"/>
          <w:pgSz w:w="12240" w:h="15840"/>
          <w:pgMar w:top="900" w:right="1080" w:bottom="1260" w:left="1080" w:header="720" w:footer="246" w:gutter="0"/>
          <w:cols w:num="2" w:space="720"/>
          <w:docGrid w:linePitch="299"/>
        </w:sectPr>
      </w:pPr>
    </w:p>
    <w:p w14:paraId="1CEDEDCA" w14:textId="7FBB7FBF" w:rsidR="000F4642" w:rsidRPr="00E61C79" w:rsidRDefault="000F4642" w:rsidP="000F4642">
      <w:pPr>
        <w:widowControl w:val="0"/>
        <w:spacing w:line="240" w:lineRule="auto"/>
        <w:ind w:right="90"/>
        <w:rPr>
          <w:b/>
          <w:i/>
          <w:snapToGrid w:val="0"/>
          <w:color w:val="0000FF"/>
          <w:sz w:val="21"/>
          <w:szCs w:val="21"/>
        </w:rPr>
        <w:sectPr w:rsidR="000F4642" w:rsidRPr="00E61C79" w:rsidSect="000A7F60">
          <w:type w:val="continuous"/>
          <w:pgSz w:w="12240" w:h="15840"/>
          <w:pgMar w:top="990" w:right="540" w:bottom="990" w:left="630" w:header="720" w:footer="246" w:gutter="0"/>
          <w:cols w:space="450"/>
          <w:docGrid w:linePitch="360"/>
        </w:sectPr>
      </w:pPr>
      <w:r w:rsidRPr="00EA757E">
        <w:rPr>
          <w:rFonts w:ascii="Segoe UI" w:hAnsi="Segoe UI" w:cs="Segoe UI"/>
          <w:sz w:val="16"/>
          <w:szCs w:val="16"/>
          <w:shd w:val="clear" w:color="auto" w:fill="FFFFFF"/>
        </w:rPr>
        <w:t>Securities and advisory services offered through Independent Financial Group, LLC (IFG), a Registered Investment Adviser. Member FINRA/SIPC.</w:t>
      </w:r>
      <w:r>
        <w:rPr>
          <w:rFonts w:ascii="Segoe UI" w:hAnsi="Segoe UI" w:cs="Segoe UI"/>
          <w:sz w:val="16"/>
          <w:szCs w:val="16"/>
          <w:shd w:val="clear" w:color="auto" w:fill="FFFFFF"/>
        </w:rPr>
        <w:t xml:space="preserve"> </w:t>
      </w:r>
      <w:r w:rsidRPr="00EA757E">
        <w:rPr>
          <w:rFonts w:ascii="Segoe UI" w:hAnsi="Segoe UI" w:cs="Segoe UI"/>
          <w:sz w:val="16"/>
          <w:szCs w:val="16"/>
          <w:shd w:val="clear" w:color="auto" w:fill="FFFFFF"/>
        </w:rPr>
        <w:t>Wealthbuilders Financial Group and IFG are unaffiliated entities.</w:t>
      </w:r>
      <w:r>
        <w:rPr>
          <w:b/>
          <w:i/>
          <w:snapToGrid w:val="0"/>
          <w:color w:val="0000FF"/>
          <w:sz w:val="21"/>
          <w:szCs w:val="21"/>
        </w:rPr>
        <w:t xml:space="preserve"> </w:t>
      </w:r>
      <w:r w:rsidRPr="00EA757E">
        <w:rPr>
          <w:sz w:val="16"/>
          <w:szCs w:val="16"/>
        </w:rPr>
        <w:t>James M. Noto, CFP is a Registered Principal offering securities and advisory services through Independent Financial Group (IFG), LLC, a registered Investment Adviser. Member FINRA/SIPC. WealthBuilders Financial Group Inc. and IFG are unaffiliated entities.</w:t>
      </w:r>
    </w:p>
    <w:p w14:paraId="31A146B9" w14:textId="0B8A7662" w:rsidR="000044FA" w:rsidRPr="00847DE2" w:rsidRDefault="000044FA" w:rsidP="000F4642">
      <w:pPr>
        <w:spacing w:after="0" w:line="240" w:lineRule="auto"/>
        <w:rPr>
          <w:rFonts w:ascii="Arial Narrow" w:eastAsia="Calibri" w:hAnsi="Arial Narrow" w:cstheme="minorHAnsi"/>
          <w:spacing w:val="-10"/>
          <w:sz w:val="16"/>
          <w:szCs w:val="16"/>
        </w:rPr>
        <w:sectPr w:rsidR="000044FA" w:rsidRPr="00847DE2" w:rsidSect="005752F3">
          <w:type w:val="continuous"/>
          <w:pgSz w:w="12240" w:h="15840"/>
          <w:pgMar w:top="1170" w:right="810" w:bottom="1440" w:left="990" w:header="720" w:footer="246" w:gutter="0"/>
          <w:cols w:space="720"/>
          <w:docGrid w:linePitch="299"/>
        </w:sectPr>
      </w:pPr>
    </w:p>
    <w:p w14:paraId="40C64A76" w14:textId="0A9065B2" w:rsidR="009D61C5" w:rsidRPr="00847DE2" w:rsidRDefault="000044FA" w:rsidP="000F4642">
      <w:pPr>
        <w:spacing w:after="0" w:line="240" w:lineRule="auto"/>
        <w:ind w:left="-432" w:right="144"/>
        <w:contextualSpacing/>
        <w:rPr>
          <w:rFonts w:ascii="Arial Narrow" w:eastAsia="Calibri" w:hAnsi="Arial Narrow" w:cstheme="minorHAnsi"/>
          <w:snapToGrid w:val="0"/>
          <w:sz w:val="16"/>
          <w:szCs w:val="16"/>
        </w:rPr>
      </w:pPr>
      <w:r w:rsidRPr="00847DE2">
        <w:rPr>
          <w:rFonts w:ascii="Arial Narrow" w:eastAsia="Calibri" w:hAnsi="Arial Narrow" w:cstheme="minorHAnsi"/>
          <w:snapToGrid w:val="0"/>
          <w:sz w:val="16"/>
          <w:szCs w:val="16"/>
        </w:rPr>
        <w:lastRenderedPageBreak/>
        <w:t xml:space="preserve">Note: The views stated in this letter are not necessarily the opinion of </w:t>
      </w:r>
      <w:r w:rsidR="000F4642">
        <w:rPr>
          <w:rFonts w:ascii="Arial Narrow" w:eastAsia="Calibri" w:hAnsi="Arial Narrow" w:cstheme="minorHAnsi"/>
          <w:snapToGrid w:val="0"/>
          <w:sz w:val="16"/>
          <w:szCs w:val="16"/>
        </w:rPr>
        <w:t>Wealthbuilders Financial Group,</w:t>
      </w:r>
      <w:r w:rsidR="000F4642" w:rsidRPr="00847DE2">
        <w:rPr>
          <w:rFonts w:ascii="Arial Narrow" w:eastAsia="Calibri" w:hAnsi="Arial Narrow" w:cstheme="minorHAnsi"/>
          <w:snapToGrid w:val="0"/>
          <w:sz w:val="16"/>
          <w:szCs w:val="16"/>
        </w:rPr>
        <w:t xml:space="preserve"> and</w:t>
      </w:r>
      <w:r w:rsidRPr="00847DE2">
        <w:rPr>
          <w:rFonts w:ascii="Arial Narrow" w:eastAsia="Calibri" w:hAnsi="Arial Narrow" w:cstheme="minorHAnsi"/>
          <w:snapToGrid w:val="0"/>
          <w:sz w:val="16"/>
          <w:szCs w:val="16"/>
        </w:rPr>
        <w:t xml:space="preserve"> should not be construed, directly or indirectly, as an offer to buy or sell any securities mentioned herein. Investors should be aware that there are risks inherent in all investments, such as fluctuations in investment </w:t>
      </w:r>
      <w:r w:rsidR="00027F5D" w:rsidRPr="00847DE2">
        <w:rPr>
          <w:rFonts w:ascii="Arial Narrow" w:eastAsia="Calibri" w:hAnsi="Arial Narrow" w:cstheme="minorHAnsi"/>
          <w:snapToGrid w:val="0"/>
          <w:sz w:val="16"/>
          <w:szCs w:val="16"/>
        </w:rPr>
        <w:t>principles</w:t>
      </w:r>
      <w:r w:rsidRPr="00847DE2">
        <w:rPr>
          <w:rFonts w:ascii="Arial Narrow" w:eastAsia="Calibri" w:hAnsi="Arial Narrow" w:cstheme="minorHAnsi"/>
          <w:snapToGrid w:val="0"/>
          <w:sz w:val="16"/>
          <w:szCs w:val="16"/>
        </w:rPr>
        <w:t xml:space="preserve">. With any investment vehicle, past performance is not a guarantee of future results. Material discussed herewith is meant for general illustration and/or informational purposes only, please note that individual situations can vary. Therefore, the information should be relied upon when coordinated with individual professional advice. This material contains </w:t>
      </w:r>
      <w:r w:rsidR="00237554" w:rsidRPr="00847DE2">
        <w:rPr>
          <w:rFonts w:ascii="Arial Narrow" w:eastAsia="Calibri" w:hAnsi="Arial Narrow" w:cstheme="minorHAnsi"/>
          <w:snapToGrid w:val="0"/>
          <w:sz w:val="16"/>
          <w:szCs w:val="16"/>
        </w:rPr>
        <w:t>forward-looking</w:t>
      </w:r>
      <w:r w:rsidRPr="00847DE2">
        <w:rPr>
          <w:rFonts w:ascii="Arial Narrow" w:eastAsia="Calibri" w:hAnsi="Arial Narrow" w:cstheme="minorHAnsi"/>
          <w:snapToGrid w:val="0"/>
          <w:sz w:val="16"/>
          <w:szCs w:val="16"/>
        </w:rPr>
        <w:t xml:space="preserve"> statements and projections. There are no guarantees that these results will be achieved. All indices referenced are unmanaged and cannot be invested </w:t>
      </w:r>
      <w:r w:rsidR="00470096" w:rsidRPr="00847DE2">
        <w:rPr>
          <w:rFonts w:ascii="Arial Narrow" w:eastAsia="Calibri" w:hAnsi="Arial Narrow" w:cstheme="minorHAnsi"/>
          <w:snapToGrid w:val="0"/>
          <w:sz w:val="16"/>
          <w:szCs w:val="16"/>
        </w:rPr>
        <w:t>in</w:t>
      </w:r>
      <w:r w:rsidRPr="00847DE2">
        <w:rPr>
          <w:rFonts w:ascii="Arial Narrow" w:eastAsia="Calibri" w:hAnsi="Arial Narrow" w:cstheme="minorHAnsi"/>
          <w:snapToGrid w:val="0"/>
          <w:sz w:val="16"/>
          <w:szCs w:val="16"/>
        </w:rPr>
        <w:t xml:space="preserve"> directly. Unmanaged index returns do not reflect fees, expenses, or sales charges. Index performance is not indicative of the performance of any investment.</w:t>
      </w:r>
      <w:r w:rsidR="000F4642">
        <w:rPr>
          <w:rFonts w:ascii="Arial Narrow" w:eastAsia="Calibri" w:hAnsi="Arial Narrow" w:cstheme="minorHAnsi"/>
          <w:snapToGrid w:val="0"/>
          <w:sz w:val="16"/>
          <w:szCs w:val="16"/>
        </w:rPr>
        <w:t xml:space="preserve"> </w:t>
      </w:r>
      <w:r w:rsidR="00C24C8A" w:rsidRPr="00847DE2">
        <w:rPr>
          <w:rFonts w:ascii="Arial Narrow" w:eastAsia="Calibri" w:hAnsi="Arial Narrow" w:cstheme="minorHAnsi"/>
          <w:snapToGrid w:val="0"/>
          <w:sz w:val="16"/>
          <w:szCs w:val="16"/>
        </w:rPr>
        <w:t>The S&amp;P 500 is an unmanaged index of 500 widely held stocks that is general considered representative of the U.S. Stock market. The modern design of the S&amp;P 500 stock index was first launched in 1957. Performance prior to 1957 incorporates the performance of the predecessor index, the S&amp;P 90. Dow Jones Industrial Average (DJIA), commonly known as “The Dow” is an index representing 30 stocks of companies maintained and reviewed by the editors of the Wall Street Journal. Past performance is no guarantee of future results. CDs are FDIC Insured and offer a fixed rate of return if held to maturity. Due to volatility within the markets mentioned, opinions are subject to change without notice. Information is based on sources believed to be reliable; however, their accuracy or completeness cannot be guaranteed.</w:t>
      </w:r>
      <w:r w:rsidR="000F4642">
        <w:rPr>
          <w:rFonts w:ascii="Arial Narrow" w:eastAsia="Calibri" w:hAnsi="Arial Narrow" w:cstheme="minorHAnsi"/>
          <w:snapToGrid w:val="0"/>
          <w:sz w:val="16"/>
          <w:szCs w:val="16"/>
        </w:rPr>
        <w:t xml:space="preserve"> </w:t>
      </w:r>
      <w:r w:rsidRPr="00847DE2">
        <w:rPr>
          <w:rFonts w:ascii="Arial Narrow" w:eastAsia="Calibri" w:hAnsi="Arial Narrow" w:cstheme="minorHAnsi"/>
          <w:snapToGrid w:val="0"/>
          <w:sz w:val="16"/>
          <w:szCs w:val="16"/>
        </w:rPr>
        <w:t xml:space="preserve">There is an inverse relationship between interest rate movements and bond prices. Generally, when interest rates rise, bond prices fall and when interest rates fall, bond prices generally rise. There is no guarantee that a diversified portfolio will enhance overall returns </w:t>
      </w:r>
      <w:r w:rsidR="00470096" w:rsidRPr="00847DE2">
        <w:rPr>
          <w:rFonts w:ascii="Arial Narrow" w:eastAsia="Calibri" w:hAnsi="Arial Narrow" w:cstheme="minorHAnsi"/>
          <w:snapToGrid w:val="0"/>
          <w:sz w:val="16"/>
          <w:szCs w:val="16"/>
        </w:rPr>
        <w:t>or</w:t>
      </w:r>
      <w:r w:rsidRPr="00847DE2">
        <w:rPr>
          <w:rFonts w:ascii="Arial Narrow" w:eastAsia="Calibri" w:hAnsi="Arial Narrow" w:cstheme="minorHAnsi"/>
          <w:snapToGrid w:val="0"/>
          <w:sz w:val="16"/>
          <w:szCs w:val="16"/>
        </w:rPr>
        <w:t xml:space="preserve"> outperform a non-diversified portfolio. Diversification does not protect against market risk.</w:t>
      </w:r>
      <w:r w:rsidR="000F4642">
        <w:rPr>
          <w:rFonts w:ascii="Arial Narrow" w:eastAsia="Calibri" w:hAnsi="Arial Narrow" w:cstheme="minorHAnsi"/>
          <w:snapToGrid w:val="0"/>
          <w:sz w:val="16"/>
          <w:szCs w:val="16"/>
        </w:rPr>
        <w:t xml:space="preserve"> </w:t>
      </w:r>
      <w:r w:rsidRPr="00847DE2">
        <w:rPr>
          <w:rFonts w:ascii="Arial Narrow" w:eastAsia="Calibri" w:hAnsi="Arial Narrow" w:cstheme="minorHAnsi"/>
          <w:snapToGrid w:val="0"/>
          <w:sz w:val="16"/>
          <w:szCs w:val="16"/>
        </w:rPr>
        <w:t>Sources:</w:t>
      </w:r>
      <w:r w:rsidR="00182927" w:rsidRPr="00847DE2">
        <w:rPr>
          <w:rFonts w:ascii="Arial Narrow" w:eastAsia="Calibri" w:hAnsi="Arial Narrow" w:cstheme="minorHAnsi"/>
          <w:snapToGrid w:val="0"/>
          <w:sz w:val="16"/>
          <w:szCs w:val="16"/>
        </w:rPr>
        <w:t xml:space="preserve"> </w:t>
      </w:r>
      <w:hyperlink r:id="rId17" w:history="1">
        <w:r w:rsidR="00EF5973" w:rsidRPr="00847DE2">
          <w:rPr>
            <w:rFonts w:ascii="Arial Narrow" w:eastAsia="Calibri" w:hAnsi="Arial Narrow" w:cstheme="minorHAnsi"/>
            <w:snapToGrid w:val="0"/>
            <w:sz w:val="16"/>
            <w:szCs w:val="16"/>
          </w:rPr>
          <w:t>www.federalreserve.com</w:t>
        </w:r>
      </w:hyperlink>
      <w:r w:rsidR="00EF5973" w:rsidRPr="00847DE2">
        <w:rPr>
          <w:rFonts w:ascii="Arial Narrow" w:eastAsia="Calibri" w:hAnsi="Arial Narrow" w:cstheme="minorHAnsi"/>
          <w:snapToGrid w:val="0"/>
          <w:sz w:val="16"/>
          <w:szCs w:val="16"/>
        </w:rPr>
        <w:t>; www.</w:t>
      </w:r>
      <w:r w:rsidR="005B041B" w:rsidRPr="00847DE2">
        <w:rPr>
          <w:rFonts w:ascii="Arial Narrow" w:eastAsia="Calibri" w:hAnsi="Arial Narrow" w:cstheme="minorHAnsi"/>
          <w:snapToGrid w:val="0"/>
          <w:sz w:val="16"/>
          <w:szCs w:val="16"/>
        </w:rPr>
        <w:t>barrons</w:t>
      </w:r>
      <w:r w:rsidR="00EF5973" w:rsidRPr="00847DE2">
        <w:rPr>
          <w:rFonts w:ascii="Arial Narrow" w:eastAsia="Calibri" w:hAnsi="Arial Narrow" w:cstheme="minorHAnsi"/>
          <w:snapToGrid w:val="0"/>
          <w:sz w:val="16"/>
          <w:szCs w:val="16"/>
        </w:rPr>
        <w:t xml:space="preserve">.com; </w:t>
      </w:r>
      <w:hyperlink r:id="rId18" w:history="1">
        <w:r w:rsidR="00EF5973" w:rsidRPr="00847DE2">
          <w:rPr>
            <w:rFonts w:ascii="Arial Narrow" w:eastAsia="Calibri" w:hAnsi="Arial Narrow" w:cstheme="minorHAnsi"/>
            <w:snapToGrid w:val="0"/>
            <w:sz w:val="16"/>
            <w:szCs w:val="16"/>
          </w:rPr>
          <w:t>www.</w:t>
        </w:r>
        <w:r w:rsidR="009D61C5" w:rsidRPr="00847DE2">
          <w:rPr>
            <w:rFonts w:ascii="Arial Narrow" w:eastAsia="Calibri" w:hAnsi="Arial Narrow" w:cstheme="minorHAnsi"/>
            <w:snapToGrid w:val="0"/>
            <w:sz w:val="16"/>
            <w:szCs w:val="16"/>
          </w:rPr>
          <w:t>bls</w:t>
        </w:r>
        <w:r w:rsidR="00EF5973" w:rsidRPr="00847DE2">
          <w:rPr>
            <w:rFonts w:ascii="Arial Narrow" w:eastAsia="Calibri" w:hAnsi="Arial Narrow" w:cstheme="minorHAnsi"/>
            <w:snapToGrid w:val="0"/>
            <w:sz w:val="16"/>
            <w:szCs w:val="16"/>
          </w:rPr>
          <w:t>.com</w:t>
        </w:r>
      </w:hyperlink>
      <w:r w:rsidR="00EF5973" w:rsidRPr="00847DE2">
        <w:rPr>
          <w:rFonts w:ascii="Arial Narrow" w:eastAsia="Calibri" w:hAnsi="Arial Narrow" w:cstheme="minorHAnsi"/>
          <w:snapToGrid w:val="0"/>
          <w:sz w:val="16"/>
          <w:szCs w:val="16"/>
        </w:rPr>
        <w:t xml:space="preserve">; </w:t>
      </w:r>
      <w:hyperlink r:id="rId19" w:history="1">
        <w:r w:rsidR="009D61C5" w:rsidRPr="00847DE2">
          <w:rPr>
            <w:rFonts w:ascii="Arial Narrow" w:eastAsia="Calibri" w:hAnsi="Arial Narrow" w:cstheme="minorHAnsi"/>
            <w:snapToGrid w:val="0"/>
            <w:sz w:val="16"/>
            <w:szCs w:val="16"/>
          </w:rPr>
          <w:t>www.forbes.com</w:t>
        </w:r>
      </w:hyperlink>
      <w:r w:rsidR="00EF5973" w:rsidRPr="00847DE2">
        <w:rPr>
          <w:rFonts w:ascii="Arial Narrow" w:eastAsia="Calibri" w:hAnsi="Arial Narrow" w:cstheme="minorHAnsi"/>
          <w:snapToGrid w:val="0"/>
          <w:sz w:val="16"/>
          <w:szCs w:val="16"/>
        </w:rPr>
        <w:t xml:space="preserve">; </w:t>
      </w:r>
      <w:hyperlink r:id="rId20" w:history="1">
        <w:r w:rsidR="009D61C5" w:rsidRPr="00847DE2">
          <w:rPr>
            <w:rFonts w:ascii="Arial Narrow" w:eastAsia="Calibri" w:hAnsi="Arial Narrow" w:cstheme="minorHAnsi"/>
            <w:snapToGrid w:val="0"/>
            <w:sz w:val="16"/>
            <w:szCs w:val="16"/>
          </w:rPr>
          <w:t>www.cnn.com</w:t>
        </w:r>
      </w:hyperlink>
      <w:r w:rsidR="00EF5973" w:rsidRPr="00847DE2">
        <w:rPr>
          <w:rFonts w:ascii="Arial Narrow" w:eastAsia="Calibri" w:hAnsi="Arial Narrow" w:cstheme="minorHAnsi"/>
          <w:snapToGrid w:val="0"/>
          <w:sz w:val="16"/>
          <w:szCs w:val="16"/>
        </w:rPr>
        <w:t>; www.bigcharts.com</w:t>
      </w:r>
      <w:r w:rsidR="002C6565" w:rsidRPr="00847DE2">
        <w:rPr>
          <w:rFonts w:ascii="Arial Narrow" w:eastAsia="Calibri" w:hAnsi="Arial Narrow" w:cstheme="minorHAnsi"/>
          <w:snapToGrid w:val="0"/>
          <w:sz w:val="16"/>
          <w:szCs w:val="16"/>
        </w:rPr>
        <w:t>, Contents provided by The Academy of Preferred Financial Advisors, Inc</w:t>
      </w:r>
      <w:r w:rsidR="00FC6A1E">
        <w:rPr>
          <w:rFonts w:ascii="Arial Narrow" w:eastAsia="Calibri" w:hAnsi="Arial Narrow" w:cstheme="minorHAnsi"/>
          <w:snapToGrid w:val="0"/>
          <w:sz w:val="16"/>
          <w:szCs w:val="16"/>
        </w:rPr>
        <w:t>.</w:t>
      </w:r>
    </w:p>
    <w:sectPr w:rsidR="009D61C5" w:rsidRPr="00847DE2" w:rsidSect="005752F3">
      <w:type w:val="continuous"/>
      <w:pgSz w:w="12240" w:h="15840"/>
      <w:pgMar w:top="1170" w:right="810" w:bottom="1440" w:left="990" w:header="720" w:footer="2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5F151" w14:textId="77777777" w:rsidR="00D44FEA" w:rsidRDefault="00D44FEA" w:rsidP="000F4642">
      <w:pPr>
        <w:spacing w:after="0" w:line="240" w:lineRule="auto"/>
      </w:pPr>
      <w:r>
        <w:separator/>
      </w:r>
    </w:p>
  </w:endnote>
  <w:endnote w:type="continuationSeparator" w:id="0">
    <w:p w14:paraId="4ADDE1FE" w14:textId="77777777" w:rsidR="00D44FEA" w:rsidRDefault="00D44FEA" w:rsidP="000F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7D545" w14:textId="77777777" w:rsidR="00D44FEA" w:rsidRDefault="00D44FEA" w:rsidP="000F4642">
      <w:pPr>
        <w:spacing w:after="0" w:line="240" w:lineRule="auto"/>
      </w:pPr>
      <w:r>
        <w:separator/>
      </w:r>
    </w:p>
  </w:footnote>
  <w:footnote w:type="continuationSeparator" w:id="0">
    <w:p w14:paraId="2BC3C13C" w14:textId="77777777" w:rsidR="00D44FEA" w:rsidRDefault="00D44FEA" w:rsidP="000F4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944"/>
    <w:multiLevelType w:val="hybridMultilevel"/>
    <w:tmpl w:val="10D0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45FCE"/>
    <w:multiLevelType w:val="hybridMultilevel"/>
    <w:tmpl w:val="5D482F6E"/>
    <w:lvl w:ilvl="0" w:tplc="82BE3F46">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833B2"/>
    <w:multiLevelType w:val="hybridMultilevel"/>
    <w:tmpl w:val="FE5C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B1E6D"/>
    <w:multiLevelType w:val="hybridMultilevel"/>
    <w:tmpl w:val="AF9202E2"/>
    <w:lvl w:ilvl="0" w:tplc="D13C6AD6">
      <w:start w:val="1"/>
      <w:numFmt w:val="decimal"/>
      <w:lvlText w:val="%1."/>
      <w:lvlJc w:val="left"/>
      <w:pPr>
        <w:ind w:left="1140" w:hanging="360"/>
      </w:pPr>
      <w:rPr>
        <w:rFonts w:ascii="Franklin Gothic Demi Cond" w:hAnsi="Franklin Gothic Demi Cond" w:hint="default"/>
        <w:b/>
        <w:bCs/>
        <w:color w:val="1F4E79" w:themeColor="accent5" w:themeShade="80"/>
        <w:sz w:val="40"/>
        <w:szCs w:val="4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49F5BC1"/>
    <w:multiLevelType w:val="multilevel"/>
    <w:tmpl w:val="95CAD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307424"/>
    <w:multiLevelType w:val="hybridMultilevel"/>
    <w:tmpl w:val="9E4A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53257"/>
    <w:multiLevelType w:val="hybridMultilevel"/>
    <w:tmpl w:val="D4CC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712B6"/>
    <w:multiLevelType w:val="hybridMultilevel"/>
    <w:tmpl w:val="071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3283B"/>
    <w:multiLevelType w:val="hybridMultilevel"/>
    <w:tmpl w:val="482E61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617A29"/>
    <w:multiLevelType w:val="hybridMultilevel"/>
    <w:tmpl w:val="802E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146B3"/>
    <w:multiLevelType w:val="multilevel"/>
    <w:tmpl w:val="0DD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EF01B5"/>
    <w:multiLevelType w:val="hybridMultilevel"/>
    <w:tmpl w:val="BDC84BD6"/>
    <w:lvl w:ilvl="0" w:tplc="38EC3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A53F1"/>
    <w:multiLevelType w:val="hybridMultilevel"/>
    <w:tmpl w:val="3D4E5902"/>
    <w:lvl w:ilvl="0" w:tplc="3162015E">
      <w:start w:val="1"/>
      <w:numFmt w:val="bullet"/>
      <w:lvlText w:val="•"/>
      <w:lvlJc w:val="left"/>
      <w:pPr>
        <w:tabs>
          <w:tab w:val="num" w:pos="720"/>
        </w:tabs>
        <w:ind w:left="720" w:hanging="360"/>
      </w:pPr>
      <w:rPr>
        <w:rFonts w:ascii="Arial" w:hAnsi="Arial" w:hint="default"/>
      </w:rPr>
    </w:lvl>
    <w:lvl w:ilvl="1" w:tplc="A9EEB2EE" w:tentative="1">
      <w:start w:val="1"/>
      <w:numFmt w:val="bullet"/>
      <w:lvlText w:val="•"/>
      <w:lvlJc w:val="left"/>
      <w:pPr>
        <w:tabs>
          <w:tab w:val="num" w:pos="1440"/>
        </w:tabs>
        <w:ind w:left="1440" w:hanging="360"/>
      </w:pPr>
      <w:rPr>
        <w:rFonts w:ascii="Arial" w:hAnsi="Arial" w:hint="default"/>
      </w:rPr>
    </w:lvl>
    <w:lvl w:ilvl="2" w:tplc="D6948A84" w:tentative="1">
      <w:start w:val="1"/>
      <w:numFmt w:val="bullet"/>
      <w:lvlText w:val="•"/>
      <w:lvlJc w:val="left"/>
      <w:pPr>
        <w:tabs>
          <w:tab w:val="num" w:pos="2160"/>
        </w:tabs>
        <w:ind w:left="2160" w:hanging="360"/>
      </w:pPr>
      <w:rPr>
        <w:rFonts w:ascii="Arial" w:hAnsi="Arial" w:hint="default"/>
      </w:rPr>
    </w:lvl>
    <w:lvl w:ilvl="3" w:tplc="68E0DD8C" w:tentative="1">
      <w:start w:val="1"/>
      <w:numFmt w:val="bullet"/>
      <w:lvlText w:val="•"/>
      <w:lvlJc w:val="left"/>
      <w:pPr>
        <w:tabs>
          <w:tab w:val="num" w:pos="2880"/>
        </w:tabs>
        <w:ind w:left="2880" w:hanging="360"/>
      </w:pPr>
      <w:rPr>
        <w:rFonts w:ascii="Arial" w:hAnsi="Arial" w:hint="default"/>
      </w:rPr>
    </w:lvl>
    <w:lvl w:ilvl="4" w:tplc="CEAA0922" w:tentative="1">
      <w:start w:val="1"/>
      <w:numFmt w:val="bullet"/>
      <w:lvlText w:val="•"/>
      <w:lvlJc w:val="left"/>
      <w:pPr>
        <w:tabs>
          <w:tab w:val="num" w:pos="3600"/>
        </w:tabs>
        <w:ind w:left="3600" w:hanging="360"/>
      </w:pPr>
      <w:rPr>
        <w:rFonts w:ascii="Arial" w:hAnsi="Arial" w:hint="default"/>
      </w:rPr>
    </w:lvl>
    <w:lvl w:ilvl="5" w:tplc="B394DD3C" w:tentative="1">
      <w:start w:val="1"/>
      <w:numFmt w:val="bullet"/>
      <w:lvlText w:val="•"/>
      <w:lvlJc w:val="left"/>
      <w:pPr>
        <w:tabs>
          <w:tab w:val="num" w:pos="4320"/>
        </w:tabs>
        <w:ind w:left="4320" w:hanging="360"/>
      </w:pPr>
      <w:rPr>
        <w:rFonts w:ascii="Arial" w:hAnsi="Arial" w:hint="default"/>
      </w:rPr>
    </w:lvl>
    <w:lvl w:ilvl="6" w:tplc="BFD038AA" w:tentative="1">
      <w:start w:val="1"/>
      <w:numFmt w:val="bullet"/>
      <w:lvlText w:val="•"/>
      <w:lvlJc w:val="left"/>
      <w:pPr>
        <w:tabs>
          <w:tab w:val="num" w:pos="5040"/>
        </w:tabs>
        <w:ind w:left="5040" w:hanging="360"/>
      </w:pPr>
      <w:rPr>
        <w:rFonts w:ascii="Arial" w:hAnsi="Arial" w:hint="default"/>
      </w:rPr>
    </w:lvl>
    <w:lvl w:ilvl="7" w:tplc="3FBECDC0" w:tentative="1">
      <w:start w:val="1"/>
      <w:numFmt w:val="bullet"/>
      <w:lvlText w:val="•"/>
      <w:lvlJc w:val="left"/>
      <w:pPr>
        <w:tabs>
          <w:tab w:val="num" w:pos="5760"/>
        </w:tabs>
        <w:ind w:left="5760" w:hanging="360"/>
      </w:pPr>
      <w:rPr>
        <w:rFonts w:ascii="Arial" w:hAnsi="Arial" w:hint="default"/>
      </w:rPr>
    </w:lvl>
    <w:lvl w:ilvl="8" w:tplc="B636BFD0" w:tentative="1">
      <w:start w:val="1"/>
      <w:numFmt w:val="bullet"/>
      <w:lvlText w:val="•"/>
      <w:lvlJc w:val="left"/>
      <w:pPr>
        <w:tabs>
          <w:tab w:val="num" w:pos="6480"/>
        </w:tabs>
        <w:ind w:left="6480" w:hanging="360"/>
      </w:pPr>
      <w:rPr>
        <w:rFonts w:ascii="Arial" w:hAnsi="Arial" w:hint="default"/>
      </w:rPr>
    </w:lvl>
  </w:abstractNum>
  <w:abstractNum w:abstractNumId="13">
    <w:nsid w:val="2B1D28C0"/>
    <w:multiLevelType w:val="hybridMultilevel"/>
    <w:tmpl w:val="924E2658"/>
    <w:lvl w:ilvl="0" w:tplc="66EA833E">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2B355933"/>
    <w:multiLevelType w:val="hybridMultilevel"/>
    <w:tmpl w:val="70A8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706540"/>
    <w:multiLevelType w:val="hybridMultilevel"/>
    <w:tmpl w:val="CC2E9E88"/>
    <w:lvl w:ilvl="0" w:tplc="30848344">
      <w:start w:val="1"/>
      <w:numFmt w:val="bullet"/>
      <w:lvlText w:val=""/>
      <w:lvlJc w:val="left"/>
      <w:pPr>
        <w:ind w:left="720" w:hanging="360"/>
      </w:pPr>
      <w:rPr>
        <w:rFonts w:ascii="Wingdings" w:hAnsi="Wingdings" w:hint="default"/>
        <w:b/>
        <w:i w:val="0"/>
        <w:color w:val="538135" w:themeColor="accent6" w:themeShade="BF"/>
        <w:sz w:val="32"/>
        <w:szCs w:val="32"/>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6">
    <w:nsid w:val="32633339"/>
    <w:multiLevelType w:val="hybridMultilevel"/>
    <w:tmpl w:val="83CE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B3C3B"/>
    <w:multiLevelType w:val="hybridMultilevel"/>
    <w:tmpl w:val="5E32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D6F3F"/>
    <w:multiLevelType w:val="hybridMultilevel"/>
    <w:tmpl w:val="0B28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367028"/>
    <w:multiLevelType w:val="hybridMultilevel"/>
    <w:tmpl w:val="DAD4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75A4D"/>
    <w:multiLevelType w:val="hybridMultilevel"/>
    <w:tmpl w:val="0BF2A3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nsid w:val="3D065581"/>
    <w:multiLevelType w:val="hybridMultilevel"/>
    <w:tmpl w:val="FDA44052"/>
    <w:lvl w:ilvl="0" w:tplc="B91E302E">
      <w:start w:val="1"/>
      <w:numFmt w:val="bullet"/>
      <w:lvlText w:val="•"/>
      <w:lvlJc w:val="left"/>
      <w:pPr>
        <w:ind w:left="720" w:hanging="360"/>
      </w:pPr>
      <w:rPr>
        <w:rFonts w:ascii="Arial" w:hAnsi="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16D63"/>
    <w:multiLevelType w:val="hybridMultilevel"/>
    <w:tmpl w:val="938A9072"/>
    <w:lvl w:ilvl="0" w:tplc="020E2CC2">
      <w:start w:val="1"/>
      <w:numFmt w:val="bullet"/>
      <w:lvlText w:val="•"/>
      <w:lvlJc w:val="left"/>
      <w:pPr>
        <w:tabs>
          <w:tab w:val="num" w:pos="720"/>
        </w:tabs>
        <w:ind w:left="720" w:hanging="360"/>
      </w:pPr>
      <w:rPr>
        <w:rFonts w:ascii="Arial" w:hAnsi="Arial" w:hint="default"/>
      </w:rPr>
    </w:lvl>
    <w:lvl w:ilvl="1" w:tplc="6ADE39BA" w:tentative="1">
      <w:start w:val="1"/>
      <w:numFmt w:val="bullet"/>
      <w:lvlText w:val="•"/>
      <w:lvlJc w:val="left"/>
      <w:pPr>
        <w:tabs>
          <w:tab w:val="num" w:pos="1440"/>
        </w:tabs>
        <w:ind w:left="1440" w:hanging="360"/>
      </w:pPr>
      <w:rPr>
        <w:rFonts w:ascii="Arial" w:hAnsi="Arial" w:hint="default"/>
      </w:rPr>
    </w:lvl>
    <w:lvl w:ilvl="2" w:tplc="E24C13A6" w:tentative="1">
      <w:start w:val="1"/>
      <w:numFmt w:val="bullet"/>
      <w:lvlText w:val="•"/>
      <w:lvlJc w:val="left"/>
      <w:pPr>
        <w:tabs>
          <w:tab w:val="num" w:pos="2160"/>
        </w:tabs>
        <w:ind w:left="2160" w:hanging="360"/>
      </w:pPr>
      <w:rPr>
        <w:rFonts w:ascii="Arial" w:hAnsi="Arial" w:hint="default"/>
      </w:rPr>
    </w:lvl>
    <w:lvl w:ilvl="3" w:tplc="1D9E793C" w:tentative="1">
      <w:start w:val="1"/>
      <w:numFmt w:val="bullet"/>
      <w:lvlText w:val="•"/>
      <w:lvlJc w:val="left"/>
      <w:pPr>
        <w:tabs>
          <w:tab w:val="num" w:pos="2880"/>
        </w:tabs>
        <w:ind w:left="2880" w:hanging="360"/>
      </w:pPr>
      <w:rPr>
        <w:rFonts w:ascii="Arial" w:hAnsi="Arial" w:hint="default"/>
      </w:rPr>
    </w:lvl>
    <w:lvl w:ilvl="4" w:tplc="7944ACEE" w:tentative="1">
      <w:start w:val="1"/>
      <w:numFmt w:val="bullet"/>
      <w:lvlText w:val="•"/>
      <w:lvlJc w:val="left"/>
      <w:pPr>
        <w:tabs>
          <w:tab w:val="num" w:pos="3600"/>
        </w:tabs>
        <w:ind w:left="3600" w:hanging="360"/>
      </w:pPr>
      <w:rPr>
        <w:rFonts w:ascii="Arial" w:hAnsi="Arial" w:hint="default"/>
      </w:rPr>
    </w:lvl>
    <w:lvl w:ilvl="5" w:tplc="BA76CE6E" w:tentative="1">
      <w:start w:val="1"/>
      <w:numFmt w:val="bullet"/>
      <w:lvlText w:val="•"/>
      <w:lvlJc w:val="left"/>
      <w:pPr>
        <w:tabs>
          <w:tab w:val="num" w:pos="4320"/>
        </w:tabs>
        <w:ind w:left="4320" w:hanging="360"/>
      </w:pPr>
      <w:rPr>
        <w:rFonts w:ascii="Arial" w:hAnsi="Arial" w:hint="default"/>
      </w:rPr>
    </w:lvl>
    <w:lvl w:ilvl="6" w:tplc="F40AE324" w:tentative="1">
      <w:start w:val="1"/>
      <w:numFmt w:val="bullet"/>
      <w:lvlText w:val="•"/>
      <w:lvlJc w:val="left"/>
      <w:pPr>
        <w:tabs>
          <w:tab w:val="num" w:pos="5040"/>
        </w:tabs>
        <w:ind w:left="5040" w:hanging="360"/>
      </w:pPr>
      <w:rPr>
        <w:rFonts w:ascii="Arial" w:hAnsi="Arial" w:hint="default"/>
      </w:rPr>
    </w:lvl>
    <w:lvl w:ilvl="7" w:tplc="9B8860AA" w:tentative="1">
      <w:start w:val="1"/>
      <w:numFmt w:val="bullet"/>
      <w:lvlText w:val="•"/>
      <w:lvlJc w:val="left"/>
      <w:pPr>
        <w:tabs>
          <w:tab w:val="num" w:pos="5760"/>
        </w:tabs>
        <w:ind w:left="5760" w:hanging="360"/>
      </w:pPr>
      <w:rPr>
        <w:rFonts w:ascii="Arial" w:hAnsi="Arial" w:hint="default"/>
      </w:rPr>
    </w:lvl>
    <w:lvl w:ilvl="8" w:tplc="E76CC1E4" w:tentative="1">
      <w:start w:val="1"/>
      <w:numFmt w:val="bullet"/>
      <w:lvlText w:val="•"/>
      <w:lvlJc w:val="left"/>
      <w:pPr>
        <w:tabs>
          <w:tab w:val="num" w:pos="6480"/>
        </w:tabs>
        <w:ind w:left="6480" w:hanging="360"/>
      </w:pPr>
      <w:rPr>
        <w:rFonts w:ascii="Arial" w:hAnsi="Arial" w:hint="default"/>
      </w:rPr>
    </w:lvl>
  </w:abstractNum>
  <w:abstractNum w:abstractNumId="23">
    <w:nsid w:val="443E4D00"/>
    <w:multiLevelType w:val="hybridMultilevel"/>
    <w:tmpl w:val="2DA6B124"/>
    <w:lvl w:ilvl="0" w:tplc="43ECFFE2">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379C3"/>
    <w:multiLevelType w:val="hybridMultilevel"/>
    <w:tmpl w:val="064C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9631F"/>
    <w:multiLevelType w:val="hybridMultilevel"/>
    <w:tmpl w:val="AF34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C78BF"/>
    <w:multiLevelType w:val="hybridMultilevel"/>
    <w:tmpl w:val="25881E7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7">
    <w:nsid w:val="4CCE32BF"/>
    <w:multiLevelType w:val="hybridMultilevel"/>
    <w:tmpl w:val="16AA0110"/>
    <w:lvl w:ilvl="0" w:tplc="73ECA0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39E5"/>
    <w:multiLevelType w:val="hybridMultilevel"/>
    <w:tmpl w:val="523E9744"/>
    <w:lvl w:ilvl="0" w:tplc="B91E302E">
      <w:start w:val="1"/>
      <w:numFmt w:val="bullet"/>
      <w:lvlText w:val="•"/>
      <w:lvlJc w:val="left"/>
      <w:pPr>
        <w:tabs>
          <w:tab w:val="num" w:pos="720"/>
        </w:tabs>
        <w:ind w:left="720" w:hanging="360"/>
      </w:pPr>
      <w:rPr>
        <w:rFonts w:ascii="Arial" w:hAnsi="Arial" w:hint="default"/>
        <w:color w:val="000000" w:themeColor="text1"/>
      </w:rPr>
    </w:lvl>
    <w:lvl w:ilvl="1" w:tplc="DA82661C" w:tentative="1">
      <w:start w:val="1"/>
      <w:numFmt w:val="bullet"/>
      <w:lvlText w:val="•"/>
      <w:lvlJc w:val="left"/>
      <w:pPr>
        <w:tabs>
          <w:tab w:val="num" w:pos="1440"/>
        </w:tabs>
        <w:ind w:left="1440" w:hanging="360"/>
      </w:pPr>
      <w:rPr>
        <w:rFonts w:ascii="Arial" w:hAnsi="Arial" w:hint="default"/>
      </w:rPr>
    </w:lvl>
    <w:lvl w:ilvl="2" w:tplc="96FCAE8C" w:tentative="1">
      <w:start w:val="1"/>
      <w:numFmt w:val="bullet"/>
      <w:lvlText w:val="•"/>
      <w:lvlJc w:val="left"/>
      <w:pPr>
        <w:tabs>
          <w:tab w:val="num" w:pos="2160"/>
        </w:tabs>
        <w:ind w:left="2160" w:hanging="360"/>
      </w:pPr>
      <w:rPr>
        <w:rFonts w:ascii="Arial" w:hAnsi="Arial" w:hint="default"/>
      </w:rPr>
    </w:lvl>
    <w:lvl w:ilvl="3" w:tplc="BE10FEAE" w:tentative="1">
      <w:start w:val="1"/>
      <w:numFmt w:val="bullet"/>
      <w:lvlText w:val="•"/>
      <w:lvlJc w:val="left"/>
      <w:pPr>
        <w:tabs>
          <w:tab w:val="num" w:pos="2880"/>
        </w:tabs>
        <w:ind w:left="2880" w:hanging="360"/>
      </w:pPr>
      <w:rPr>
        <w:rFonts w:ascii="Arial" w:hAnsi="Arial" w:hint="default"/>
      </w:rPr>
    </w:lvl>
    <w:lvl w:ilvl="4" w:tplc="0E38BD12" w:tentative="1">
      <w:start w:val="1"/>
      <w:numFmt w:val="bullet"/>
      <w:lvlText w:val="•"/>
      <w:lvlJc w:val="left"/>
      <w:pPr>
        <w:tabs>
          <w:tab w:val="num" w:pos="3600"/>
        </w:tabs>
        <w:ind w:left="3600" w:hanging="360"/>
      </w:pPr>
      <w:rPr>
        <w:rFonts w:ascii="Arial" w:hAnsi="Arial" w:hint="default"/>
      </w:rPr>
    </w:lvl>
    <w:lvl w:ilvl="5" w:tplc="F2625446" w:tentative="1">
      <w:start w:val="1"/>
      <w:numFmt w:val="bullet"/>
      <w:lvlText w:val="•"/>
      <w:lvlJc w:val="left"/>
      <w:pPr>
        <w:tabs>
          <w:tab w:val="num" w:pos="4320"/>
        </w:tabs>
        <w:ind w:left="4320" w:hanging="360"/>
      </w:pPr>
      <w:rPr>
        <w:rFonts w:ascii="Arial" w:hAnsi="Arial" w:hint="default"/>
      </w:rPr>
    </w:lvl>
    <w:lvl w:ilvl="6" w:tplc="717E7CB0" w:tentative="1">
      <w:start w:val="1"/>
      <w:numFmt w:val="bullet"/>
      <w:lvlText w:val="•"/>
      <w:lvlJc w:val="left"/>
      <w:pPr>
        <w:tabs>
          <w:tab w:val="num" w:pos="5040"/>
        </w:tabs>
        <w:ind w:left="5040" w:hanging="360"/>
      </w:pPr>
      <w:rPr>
        <w:rFonts w:ascii="Arial" w:hAnsi="Arial" w:hint="default"/>
      </w:rPr>
    </w:lvl>
    <w:lvl w:ilvl="7" w:tplc="00424E52" w:tentative="1">
      <w:start w:val="1"/>
      <w:numFmt w:val="bullet"/>
      <w:lvlText w:val="•"/>
      <w:lvlJc w:val="left"/>
      <w:pPr>
        <w:tabs>
          <w:tab w:val="num" w:pos="5760"/>
        </w:tabs>
        <w:ind w:left="5760" w:hanging="360"/>
      </w:pPr>
      <w:rPr>
        <w:rFonts w:ascii="Arial" w:hAnsi="Arial" w:hint="default"/>
      </w:rPr>
    </w:lvl>
    <w:lvl w:ilvl="8" w:tplc="F730830E" w:tentative="1">
      <w:start w:val="1"/>
      <w:numFmt w:val="bullet"/>
      <w:lvlText w:val="•"/>
      <w:lvlJc w:val="left"/>
      <w:pPr>
        <w:tabs>
          <w:tab w:val="num" w:pos="6480"/>
        </w:tabs>
        <w:ind w:left="6480" w:hanging="360"/>
      </w:pPr>
      <w:rPr>
        <w:rFonts w:ascii="Arial" w:hAnsi="Arial" w:hint="default"/>
      </w:rPr>
    </w:lvl>
  </w:abstractNum>
  <w:abstractNum w:abstractNumId="29">
    <w:nsid w:val="4E7D446D"/>
    <w:multiLevelType w:val="multilevel"/>
    <w:tmpl w:val="BDCE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3A3513"/>
    <w:multiLevelType w:val="hybridMultilevel"/>
    <w:tmpl w:val="CE2E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B51FD4"/>
    <w:multiLevelType w:val="hybridMultilevel"/>
    <w:tmpl w:val="88F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21EBD"/>
    <w:multiLevelType w:val="hybridMultilevel"/>
    <w:tmpl w:val="BBE4C5B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nsid w:val="650F4B98"/>
    <w:multiLevelType w:val="hybridMultilevel"/>
    <w:tmpl w:val="E8A0E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720AA2"/>
    <w:multiLevelType w:val="hybridMultilevel"/>
    <w:tmpl w:val="D01C7912"/>
    <w:lvl w:ilvl="0" w:tplc="1B10A252">
      <w:start w:val="1"/>
      <w:numFmt w:val="bullet"/>
      <w:lvlText w:val=""/>
      <w:lvlJc w:val="left"/>
      <w:pPr>
        <w:ind w:left="720" w:hanging="360"/>
      </w:pPr>
      <w:rPr>
        <w:rFonts w:ascii="Symbol" w:hAnsi="Symbol" w:hint="default"/>
        <w:color w:val="0070C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74723D"/>
    <w:multiLevelType w:val="hybridMultilevel"/>
    <w:tmpl w:val="1F1CD46E"/>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6616E85"/>
    <w:multiLevelType w:val="hybridMultilevel"/>
    <w:tmpl w:val="640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714119"/>
    <w:multiLevelType w:val="hybridMultilevel"/>
    <w:tmpl w:val="202E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E217F"/>
    <w:multiLevelType w:val="hybridMultilevel"/>
    <w:tmpl w:val="9AAC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8C739E"/>
    <w:multiLevelType w:val="hybridMultilevel"/>
    <w:tmpl w:val="696E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84619"/>
    <w:multiLevelType w:val="hybridMultilevel"/>
    <w:tmpl w:val="E1A04CD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1">
    <w:nsid w:val="7E350613"/>
    <w:multiLevelType w:val="hybridMultilevel"/>
    <w:tmpl w:val="28C806FC"/>
    <w:lvl w:ilvl="0" w:tplc="B66E3EDE">
      <w:start w:val="1"/>
      <w:numFmt w:val="decimal"/>
      <w:lvlText w:val="%1)"/>
      <w:lvlJc w:val="left"/>
      <w:pPr>
        <w:ind w:left="720" w:hanging="360"/>
      </w:pPr>
      <w:rPr>
        <w:rFonts w:hint="default"/>
        <w:b w:val="0"/>
        <w:color w:val="171717" w:themeColor="background2" w:themeShade="1A"/>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15"/>
  </w:num>
  <w:num w:numId="4">
    <w:abstractNumId w:val="10"/>
  </w:num>
  <w:num w:numId="5">
    <w:abstractNumId w:val="19"/>
  </w:num>
  <w:num w:numId="6">
    <w:abstractNumId w:val="38"/>
  </w:num>
  <w:num w:numId="7">
    <w:abstractNumId w:val="9"/>
  </w:num>
  <w:num w:numId="8">
    <w:abstractNumId w:val="17"/>
  </w:num>
  <w:num w:numId="9">
    <w:abstractNumId w:val="23"/>
  </w:num>
  <w:num w:numId="10">
    <w:abstractNumId w:val="3"/>
  </w:num>
  <w:num w:numId="11">
    <w:abstractNumId w:val="18"/>
  </w:num>
  <w:num w:numId="12">
    <w:abstractNumId w:val="39"/>
  </w:num>
  <w:num w:numId="13">
    <w:abstractNumId w:val="30"/>
  </w:num>
  <w:num w:numId="14">
    <w:abstractNumId w:val="14"/>
  </w:num>
  <w:num w:numId="15">
    <w:abstractNumId w:val="37"/>
  </w:num>
  <w:num w:numId="16">
    <w:abstractNumId w:val="32"/>
  </w:num>
  <w:num w:numId="17">
    <w:abstractNumId w:val="1"/>
  </w:num>
  <w:num w:numId="18">
    <w:abstractNumId w:val="34"/>
  </w:num>
  <w:num w:numId="19">
    <w:abstractNumId w:val="20"/>
  </w:num>
  <w:num w:numId="20">
    <w:abstractNumId w:val="27"/>
  </w:num>
  <w:num w:numId="21">
    <w:abstractNumId w:val="0"/>
  </w:num>
  <w:num w:numId="22">
    <w:abstractNumId w:val="36"/>
  </w:num>
  <w:num w:numId="23">
    <w:abstractNumId w:val="11"/>
  </w:num>
  <w:num w:numId="24">
    <w:abstractNumId w:val="5"/>
  </w:num>
  <w:num w:numId="25">
    <w:abstractNumId w:val="12"/>
  </w:num>
  <w:num w:numId="26">
    <w:abstractNumId w:val="6"/>
  </w:num>
  <w:num w:numId="27">
    <w:abstractNumId w:val="31"/>
  </w:num>
  <w:num w:numId="28">
    <w:abstractNumId w:val="24"/>
  </w:num>
  <w:num w:numId="29">
    <w:abstractNumId w:val="41"/>
  </w:num>
  <w:num w:numId="30">
    <w:abstractNumId w:val="13"/>
  </w:num>
  <w:num w:numId="31">
    <w:abstractNumId w:val="26"/>
  </w:num>
  <w:num w:numId="32">
    <w:abstractNumId w:val="7"/>
  </w:num>
  <w:num w:numId="33">
    <w:abstractNumId w:val="2"/>
  </w:num>
  <w:num w:numId="34">
    <w:abstractNumId w:val="35"/>
  </w:num>
  <w:num w:numId="35">
    <w:abstractNumId w:val="28"/>
  </w:num>
  <w:num w:numId="36">
    <w:abstractNumId w:val="22"/>
  </w:num>
  <w:num w:numId="37">
    <w:abstractNumId w:val="29"/>
  </w:num>
  <w:num w:numId="38">
    <w:abstractNumId w:val="8"/>
  </w:num>
  <w:num w:numId="39">
    <w:abstractNumId w:val="16"/>
  </w:num>
  <w:num w:numId="40">
    <w:abstractNumId w:val="21"/>
  </w:num>
  <w:num w:numId="41">
    <w:abstractNumId w:val="4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7E"/>
    <w:rsid w:val="00000183"/>
    <w:rsid w:val="00000C3D"/>
    <w:rsid w:val="00001424"/>
    <w:rsid w:val="00002F16"/>
    <w:rsid w:val="000044FA"/>
    <w:rsid w:val="00005566"/>
    <w:rsid w:val="00005823"/>
    <w:rsid w:val="00007605"/>
    <w:rsid w:val="00011500"/>
    <w:rsid w:val="000120B4"/>
    <w:rsid w:val="000126BF"/>
    <w:rsid w:val="00012804"/>
    <w:rsid w:val="00013449"/>
    <w:rsid w:val="0001359D"/>
    <w:rsid w:val="00013B8D"/>
    <w:rsid w:val="00015AFF"/>
    <w:rsid w:val="000177F0"/>
    <w:rsid w:val="00021070"/>
    <w:rsid w:val="00021206"/>
    <w:rsid w:val="000216F7"/>
    <w:rsid w:val="0002218D"/>
    <w:rsid w:val="00022302"/>
    <w:rsid w:val="00023DC8"/>
    <w:rsid w:val="000258AA"/>
    <w:rsid w:val="00025E53"/>
    <w:rsid w:val="00026314"/>
    <w:rsid w:val="00027F5D"/>
    <w:rsid w:val="0003035D"/>
    <w:rsid w:val="000306F8"/>
    <w:rsid w:val="000313D1"/>
    <w:rsid w:val="000331B4"/>
    <w:rsid w:val="00033D5D"/>
    <w:rsid w:val="00035439"/>
    <w:rsid w:val="00036929"/>
    <w:rsid w:val="00041F32"/>
    <w:rsid w:val="00043F02"/>
    <w:rsid w:val="00044272"/>
    <w:rsid w:val="000457F8"/>
    <w:rsid w:val="00046435"/>
    <w:rsid w:val="00046B9A"/>
    <w:rsid w:val="00046F98"/>
    <w:rsid w:val="000470FB"/>
    <w:rsid w:val="00047916"/>
    <w:rsid w:val="00050F35"/>
    <w:rsid w:val="000516D3"/>
    <w:rsid w:val="00051D41"/>
    <w:rsid w:val="00052147"/>
    <w:rsid w:val="00052964"/>
    <w:rsid w:val="000530CE"/>
    <w:rsid w:val="00053A7C"/>
    <w:rsid w:val="00054E3C"/>
    <w:rsid w:val="00056E3C"/>
    <w:rsid w:val="000570D1"/>
    <w:rsid w:val="000603AE"/>
    <w:rsid w:val="0006058D"/>
    <w:rsid w:val="00061FB1"/>
    <w:rsid w:val="000620E4"/>
    <w:rsid w:val="000677CE"/>
    <w:rsid w:val="00070655"/>
    <w:rsid w:val="000741F8"/>
    <w:rsid w:val="00074267"/>
    <w:rsid w:val="000742DF"/>
    <w:rsid w:val="000744F7"/>
    <w:rsid w:val="0007589D"/>
    <w:rsid w:val="000767E9"/>
    <w:rsid w:val="00077C76"/>
    <w:rsid w:val="00080557"/>
    <w:rsid w:val="000807A5"/>
    <w:rsid w:val="000816F5"/>
    <w:rsid w:val="00081757"/>
    <w:rsid w:val="00081821"/>
    <w:rsid w:val="00081DED"/>
    <w:rsid w:val="00083583"/>
    <w:rsid w:val="0008381F"/>
    <w:rsid w:val="0008645A"/>
    <w:rsid w:val="00090273"/>
    <w:rsid w:val="000913A4"/>
    <w:rsid w:val="0009189E"/>
    <w:rsid w:val="00091B59"/>
    <w:rsid w:val="0009268C"/>
    <w:rsid w:val="000926C7"/>
    <w:rsid w:val="00093008"/>
    <w:rsid w:val="000A0198"/>
    <w:rsid w:val="000A1958"/>
    <w:rsid w:val="000A278E"/>
    <w:rsid w:val="000A2CDC"/>
    <w:rsid w:val="000A2FE9"/>
    <w:rsid w:val="000A33D1"/>
    <w:rsid w:val="000A4251"/>
    <w:rsid w:val="000A4E27"/>
    <w:rsid w:val="000A70D7"/>
    <w:rsid w:val="000A7652"/>
    <w:rsid w:val="000B055B"/>
    <w:rsid w:val="000B16DB"/>
    <w:rsid w:val="000B4244"/>
    <w:rsid w:val="000B4C64"/>
    <w:rsid w:val="000B6423"/>
    <w:rsid w:val="000B703F"/>
    <w:rsid w:val="000C09AD"/>
    <w:rsid w:val="000C1E04"/>
    <w:rsid w:val="000C2365"/>
    <w:rsid w:val="000C2456"/>
    <w:rsid w:val="000C2F34"/>
    <w:rsid w:val="000C4A70"/>
    <w:rsid w:val="000C6A77"/>
    <w:rsid w:val="000C6AF4"/>
    <w:rsid w:val="000C6F2E"/>
    <w:rsid w:val="000C7243"/>
    <w:rsid w:val="000C7EAA"/>
    <w:rsid w:val="000D135F"/>
    <w:rsid w:val="000D175D"/>
    <w:rsid w:val="000D21B6"/>
    <w:rsid w:val="000D34A7"/>
    <w:rsid w:val="000D3570"/>
    <w:rsid w:val="000D35A1"/>
    <w:rsid w:val="000D3EA2"/>
    <w:rsid w:val="000D57CC"/>
    <w:rsid w:val="000D7EF0"/>
    <w:rsid w:val="000E0296"/>
    <w:rsid w:val="000E138F"/>
    <w:rsid w:val="000E2128"/>
    <w:rsid w:val="000E2A7E"/>
    <w:rsid w:val="000E3A66"/>
    <w:rsid w:val="000E3FF4"/>
    <w:rsid w:val="000E4115"/>
    <w:rsid w:val="000E5D3C"/>
    <w:rsid w:val="000E6FEA"/>
    <w:rsid w:val="000F104C"/>
    <w:rsid w:val="000F2B50"/>
    <w:rsid w:val="000F2BEB"/>
    <w:rsid w:val="000F3A5C"/>
    <w:rsid w:val="000F3AF4"/>
    <w:rsid w:val="000F4642"/>
    <w:rsid w:val="000F563D"/>
    <w:rsid w:val="000F57F5"/>
    <w:rsid w:val="000F63CB"/>
    <w:rsid w:val="000F7B9A"/>
    <w:rsid w:val="000F7C03"/>
    <w:rsid w:val="001004A3"/>
    <w:rsid w:val="001008F9"/>
    <w:rsid w:val="00100E48"/>
    <w:rsid w:val="001013A3"/>
    <w:rsid w:val="001023F7"/>
    <w:rsid w:val="00102D03"/>
    <w:rsid w:val="00103ECF"/>
    <w:rsid w:val="001046DC"/>
    <w:rsid w:val="00104F55"/>
    <w:rsid w:val="0010533A"/>
    <w:rsid w:val="00105DC1"/>
    <w:rsid w:val="0010633D"/>
    <w:rsid w:val="001074AC"/>
    <w:rsid w:val="00107A3F"/>
    <w:rsid w:val="0011159A"/>
    <w:rsid w:val="001115BF"/>
    <w:rsid w:val="00112CCC"/>
    <w:rsid w:val="0011329E"/>
    <w:rsid w:val="00113C73"/>
    <w:rsid w:val="001154F3"/>
    <w:rsid w:val="00115B82"/>
    <w:rsid w:val="00116220"/>
    <w:rsid w:val="0011725D"/>
    <w:rsid w:val="00117A36"/>
    <w:rsid w:val="0012047F"/>
    <w:rsid w:val="001234FE"/>
    <w:rsid w:val="00124AEA"/>
    <w:rsid w:val="00124B99"/>
    <w:rsid w:val="00124B9F"/>
    <w:rsid w:val="0012501E"/>
    <w:rsid w:val="001263C7"/>
    <w:rsid w:val="001266C9"/>
    <w:rsid w:val="00130050"/>
    <w:rsid w:val="001300D8"/>
    <w:rsid w:val="00132B5D"/>
    <w:rsid w:val="00132E3E"/>
    <w:rsid w:val="00133809"/>
    <w:rsid w:val="00133E53"/>
    <w:rsid w:val="00137FF0"/>
    <w:rsid w:val="0014074A"/>
    <w:rsid w:val="00140BC6"/>
    <w:rsid w:val="001410D4"/>
    <w:rsid w:val="00144050"/>
    <w:rsid w:val="0014445B"/>
    <w:rsid w:val="00144A23"/>
    <w:rsid w:val="00144EE4"/>
    <w:rsid w:val="001453EB"/>
    <w:rsid w:val="00147CD3"/>
    <w:rsid w:val="00150335"/>
    <w:rsid w:val="00151049"/>
    <w:rsid w:val="001511FA"/>
    <w:rsid w:val="00151C5F"/>
    <w:rsid w:val="00154275"/>
    <w:rsid w:val="0015479C"/>
    <w:rsid w:val="001548ED"/>
    <w:rsid w:val="00155CFD"/>
    <w:rsid w:val="0015630E"/>
    <w:rsid w:val="00156B46"/>
    <w:rsid w:val="00156BD2"/>
    <w:rsid w:val="001572F1"/>
    <w:rsid w:val="0016274B"/>
    <w:rsid w:val="00162F88"/>
    <w:rsid w:val="00163963"/>
    <w:rsid w:val="0016559B"/>
    <w:rsid w:val="001656AB"/>
    <w:rsid w:val="00165732"/>
    <w:rsid w:val="00165F7A"/>
    <w:rsid w:val="00166D12"/>
    <w:rsid w:val="00167A2D"/>
    <w:rsid w:val="00167F36"/>
    <w:rsid w:val="001705D8"/>
    <w:rsid w:val="00171673"/>
    <w:rsid w:val="001720D2"/>
    <w:rsid w:val="00174214"/>
    <w:rsid w:val="00174893"/>
    <w:rsid w:val="001751A7"/>
    <w:rsid w:val="001752B7"/>
    <w:rsid w:val="00175E71"/>
    <w:rsid w:val="001777A5"/>
    <w:rsid w:val="00177A77"/>
    <w:rsid w:val="00180A02"/>
    <w:rsid w:val="00180D2A"/>
    <w:rsid w:val="00180FCC"/>
    <w:rsid w:val="00182927"/>
    <w:rsid w:val="0018307E"/>
    <w:rsid w:val="00184CFE"/>
    <w:rsid w:val="00185E8C"/>
    <w:rsid w:val="00186805"/>
    <w:rsid w:val="001876AA"/>
    <w:rsid w:val="00190412"/>
    <w:rsid w:val="001978DC"/>
    <w:rsid w:val="001A2D7B"/>
    <w:rsid w:val="001A36E4"/>
    <w:rsid w:val="001A4523"/>
    <w:rsid w:val="001A5B4A"/>
    <w:rsid w:val="001A799D"/>
    <w:rsid w:val="001B11A5"/>
    <w:rsid w:val="001B206E"/>
    <w:rsid w:val="001B397F"/>
    <w:rsid w:val="001B4B5E"/>
    <w:rsid w:val="001B58F1"/>
    <w:rsid w:val="001B5B66"/>
    <w:rsid w:val="001B5BF7"/>
    <w:rsid w:val="001B5F08"/>
    <w:rsid w:val="001B6227"/>
    <w:rsid w:val="001B66D7"/>
    <w:rsid w:val="001B6C5F"/>
    <w:rsid w:val="001C00AB"/>
    <w:rsid w:val="001C2D41"/>
    <w:rsid w:val="001C3253"/>
    <w:rsid w:val="001C60C7"/>
    <w:rsid w:val="001D2F5C"/>
    <w:rsid w:val="001D43E2"/>
    <w:rsid w:val="001D7DC6"/>
    <w:rsid w:val="001E066E"/>
    <w:rsid w:val="001E1120"/>
    <w:rsid w:val="001E2894"/>
    <w:rsid w:val="001E5068"/>
    <w:rsid w:val="001E5B94"/>
    <w:rsid w:val="001E5F90"/>
    <w:rsid w:val="001E6D6E"/>
    <w:rsid w:val="001E70F1"/>
    <w:rsid w:val="001F105F"/>
    <w:rsid w:val="001F1B39"/>
    <w:rsid w:val="001F4BDE"/>
    <w:rsid w:val="001F4F87"/>
    <w:rsid w:val="00200882"/>
    <w:rsid w:val="00200C5A"/>
    <w:rsid w:val="002042F2"/>
    <w:rsid w:val="00205228"/>
    <w:rsid w:val="00205561"/>
    <w:rsid w:val="00206C37"/>
    <w:rsid w:val="00206ECE"/>
    <w:rsid w:val="00210D9C"/>
    <w:rsid w:val="00211F9E"/>
    <w:rsid w:val="00214DEC"/>
    <w:rsid w:val="00215A4B"/>
    <w:rsid w:val="00215B2F"/>
    <w:rsid w:val="00216BC6"/>
    <w:rsid w:val="00216E80"/>
    <w:rsid w:val="002172DA"/>
    <w:rsid w:val="00217328"/>
    <w:rsid w:val="00217618"/>
    <w:rsid w:val="002212D4"/>
    <w:rsid w:val="0022216A"/>
    <w:rsid w:val="0022252B"/>
    <w:rsid w:val="00223895"/>
    <w:rsid w:val="002239C6"/>
    <w:rsid w:val="00223D5D"/>
    <w:rsid w:val="00223F9E"/>
    <w:rsid w:val="002261C6"/>
    <w:rsid w:val="00227898"/>
    <w:rsid w:val="002314F6"/>
    <w:rsid w:val="00231758"/>
    <w:rsid w:val="0023279E"/>
    <w:rsid w:val="00232D58"/>
    <w:rsid w:val="00233168"/>
    <w:rsid w:val="00233E62"/>
    <w:rsid w:val="00236B69"/>
    <w:rsid w:val="00237554"/>
    <w:rsid w:val="00241CF6"/>
    <w:rsid w:val="00241FB6"/>
    <w:rsid w:val="00242070"/>
    <w:rsid w:val="00242422"/>
    <w:rsid w:val="002457CC"/>
    <w:rsid w:val="002470AB"/>
    <w:rsid w:val="002471F1"/>
    <w:rsid w:val="00250D5E"/>
    <w:rsid w:val="00254670"/>
    <w:rsid w:val="00255AD9"/>
    <w:rsid w:val="002563F7"/>
    <w:rsid w:val="0025710D"/>
    <w:rsid w:val="00257C7D"/>
    <w:rsid w:val="00257DB0"/>
    <w:rsid w:val="00260C95"/>
    <w:rsid w:val="00261918"/>
    <w:rsid w:val="002652FC"/>
    <w:rsid w:val="002663AB"/>
    <w:rsid w:val="0026661A"/>
    <w:rsid w:val="00266FD7"/>
    <w:rsid w:val="00267436"/>
    <w:rsid w:val="0026759A"/>
    <w:rsid w:val="002676BE"/>
    <w:rsid w:val="0027021A"/>
    <w:rsid w:val="0027055F"/>
    <w:rsid w:val="002708DA"/>
    <w:rsid w:val="00271B27"/>
    <w:rsid w:val="0027281A"/>
    <w:rsid w:val="00273B08"/>
    <w:rsid w:val="00273E05"/>
    <w:rsid w:val="00277C04"/>
    <w:rsid w:val="00280B4B"/>
    <w:rsid w:val="0028174A"/>
    <w:rsid w:val="002821CB"/>
    <w:rsid w:val="00285B0F"/>
    <w:rsid w:val="00285CC2"/>
    <w:rsid w:val="0028714F"/>
    <w:rsid w:val="0028745E"/>
    <w:rsid w:val="00287E7B"/>
    <w:rsid w:val="002903B6"/>
    <w:rsid w:val="00292663"/>
    <w:rsid w:val="00292FA1"/>
    <w:rsid w:val="002939B5"/>
    <w:rsid w:val="00294A00"/>
    <w:rsid w:val="00295ADF"/>
    <w:rsid w:val="00296CA0"/>
    <w:rsid w:val="00297417"/>
    <w:rsid w:val="002A08FC"/>
    <w:rsid w:val="002A0A3A"/>
    <w:rsid w:val="002A0E8E"/>
    <w:rsid w:val="002A13FF"/>
    <w:rsid w:val="002A1EC6"/>
    <w:rsid w:val="002A259B"/>
    <w:rsid w:val="002A632E"/>
    <w:rsid w:val="002A6DD9"/>
    <w:rsid w:val="002A6FA9"/>
    <w:rsid w:val="002B03C4"/>
    <w:rsid w:val="002B2B92"/>
    <w:rsid w:val="002B57D9"/>
    <w:rsid w:val="002B6263"/>
    <w:rsid w:val="002B6679"/>
    <w:rsid w:val="002C0F89"/>
    <w:rsid w:val="002C1A13"/>
    <w:rsid w:val="002C212E"/>
    <w:rsid w:val="002C2C5B"/>
    <w:rsid w:val="002C3024"/>
    <w:rsid w:val="002C3378"/>
    <w:rsid w:val="002C61F5"/>
    <w:rsid w:val="002C6565"/>
    <w:rsid w:val="002C6D0A"/>
    <w:rsid w:val="002C6F44"/>
    <w:rsid w:val="002D0163"/>
    <w:rsid w:val="002D01D6"/>
    <w:rsid w:val="002D0211"/>
    <w:rsid w:val="002D0311"/>
    <w:rsid w:val="002D176E"/>
    <w:rsid w:val="002D1A24"/>
    <w:rsid w:val="002D3E16"/>
    <w:rsid w:val="002D3E1D"/>
    <w:rsid w:val="002D431C"/>
    <w:rsid w:val="002D454C"/>
    <w:rsid w:val="002D4EDE"/>
    <w:rsid w:val="002D5286"/>
    <w:rsid w:val="002D57CB"/>
    <w:rsid w:val="002D5F9F"/>
    <w:rsid w:val="002E07E2"/>
    <w:rsid w:val="002E18A8"/>
    <w:rsid w:val="002E2B27"/>
    <w:rsid w:val="002E4FA8"/>
    <w:rsid w:val="002E53F8"/>
    <w:rsid w:val="002E5896"/>
    <w:rsid w:val="002E5E62"/>
    <w:rsid w:val="002E6106"/>
    <w:rsid w:val="002F088E"/>
    <w:rsid w:val="002F256D"/>
    <w:rsid w:val="002F4158"/>
    <w:rsid w:val="002F4386"/>
    <w:rsid w:val="002F4A37"/>
    <w:rsid w:val="00301150"/>
    <w:rsid w:val="0030175B"/>
    <w:rsid w:val="003022A1"/>
    <w:rsid w:val="00304277"/>
    <w:rsid w:val="00305070"/>
    <w:rsid w:val="00305C42"/>
    <w:rsid w:val="0030601C"/>
    <w:rsid w:val="00306ECA"/>
    <w:rsid w:val="00307FF6"/>
    <w:rsid w:val="00310B7D"/>
    <w:rsid w:val="00310CEC"/>
    <w:rsid w:val="0031209F"/>
    <w:rsid w:val="0031361D"/>
    <w:rsid w:val="00313D0C"/>
    <w:rsid w:val="00314111"/>
    <w:rsid w:val="00315883"/>
    <w:rsid w:val="00316BAA"/>
    <w:rsid w:val="00316E63"/>
    <w:rsid w:val="00317E28"/>
    <w:rsid w:val="003208F0"/>
    <w:rsid w:val="003237E1"/>
    <w:rsid w:val="0032417D"/>
    <w:rsid w:val="0032427F"/>
    <w:rsid w:val="00325C3F"/>
    <w:rsid w:val="003265A9"/>
    <w:rsid w:val="00326C61"/>
    <w:rsid w:val="00326CE5"/>
    <w:rsid w:val="00327457"/>
    <w:rsid w:val="0032771A"/>
    <w:rsid w:val="00332AAD"/>
    <w:rsid w:val="00334591"/>
    <w:rsid w:val="00335EA4"/>
    <w:rsid w:val="00336024"/>
    <w:rsid w:val="00336568"/>
    <w:rsid w:val="00337A25"/>
    <w:rsid w:val="003400A1"/>
    <w:rsid w:val="0034021B"/>
    <w:rsid w:val="00341256"/>
    <w:rsid w:val="00341DFF"/>
    <w:rsid w:val="003420F6"/>
    <w:rsid w:val="003424F8"/>
    <w:rsid w:val="00342998"/>
    <w:rsid w:val="00342DBB"/>
    <w:rsid w:val="0034324E"/>
    <w:rsid w:val="00343455"/>
    <w:rsid w:val="00343F77"/>
    <w:rsid w:val="00344023"/>
    <w:rsid w:val="00345031"/>
    <w:rsid w:val="00345062"/>
    <w:rsid w:val="003453AB"/>
    <w:rsid w:val="00345B27"/>
    <w:rsid w:val="00346D70"/>
    <w:rsid w:val="00351D73"/>
    <w:rsid w:val="0035227A"/>
    <w:rsid w:val="00352DCA"/>
    <w:rsid w:val="003530D9"/>
    <w:rsid w:val="00353D27"/>
    <w:rsid w:val="00354359"/>
    <w:rsid w:val="00355A4D"/>
    <w:rsid w:val="0035637C"/>
    <w:rsid w:val="00356EC4"/>
    <w:rsid w:val="00356F40"/>
    <w:rsid w:val="00360A2D"/>
    <w:rsid w:val="00362D8E"/>
    <w:rsid w:val="003632F3"/>
    <w:rsid w:val="003642E8"/>
    <w:rsid w:val="003648CF"/>
    <w:rsid w:val="003649F9"/>
    <w:rsid w:val="00364B07"/>
    <w:rsid w:val="0036531B"/>
    <w:rsid w:val="003662FF"/>
    <w:rsid w:val="00366E28"/>
    <w:rsid w:val="003710C9"/>
    <w:rsid w:val="003710D7"/>
    <w:rsid w:val="00371A11"/>
    <w:rsid w:val="0037365C"/>
    <w:rsid w:val="00375170"/>
    <w:rsid w:val="0037560F"/>
    <w:rsid w:val="00375AFE"/>
    <w:rsid w:val="003774A8"/>
    <w:rsid w:val="00380373"/>
    <w:rsid w:val="003811F0"/>
    <w:rsid w:val="00381274"/>
    <w:rsid w:val="003827C5"/>
    <w:rsid w:val="00382BDD"/>
    <w:rsid w:val="00382CF9"/>
    <w:rsid w:val="00383293"/>
    <w:rsid w:val="003837C2"/>
    <w:rsid w:val="00383DE3"/>
    <w:rsid w:val="0038419C"/>
    <w:rsid w:val="0038733C"/>
    <w:rsid w:val="00387E77"/>
    <w:rsid w:val="003903B4"/>
    <w:rsid w:val="00390412"/>
    <w:rsid w:val="00390C28"/>
    <w:rsid w:val="00391F96"/>
    <w:rsid w:val="00392252"/>
    <w:rsid w:val="003927E7"/>
    <w:rsid w:val="00393584"/>
    <w:rsid w:val="0039489E"/>
    <w:rsid w:val="0039626E"/>
    <w:rsid w:val="003A005F"/>
    <w:rsid w:val="003A26FB"/>
    <w:rsid w:val="003A29AF"/>
    <w:rsid w:val="003A4122"/>
    <w:rsid w:val="003A5062"/>
    <w:rsid w:val="003A5237"/>
    <w:rsid w:val="003A5771"/>
    <w:rsid w:val="003A6FFA"/>
    <w:rsid w:val="003A7301"/>
    <w:rsid w:val="003A7808"/>
    <w:rsid w:val="003B0AA3"/>
    <w:rsid w:val="003B0C4E"/>
    <w:rsid w:val="003B25ED"/>
    <w:rsid w:val="003B2CBC"/>
    <w:rsid w:val="003B349F"/>
    <w:rsid w:val="003B3B7A"/>
    <w:rsid w:val="003B3FDD"/>
    <w:rsid w:val="003B5017"/>
    <w:rsid w:val="003B7233"/>
    <w:rsid w:val="003B72E0"/>
    <w:rsid w:val="003C0162"/>
    <w:rsid w:val="003C0490"/>
    <w:rsid w:val="003C2886"/>
    <w:rsid w:val="003C3934"/>
    <w:rsid w:val="003C3CB1"/>
    <w:rsid w:val="003C4001"/>
    <w:rsid w:val="003C4ED9"/>
    <w:rsid w:val="003C6F7B"/>
    <w:rsid w:val="003C71A9"/>
    <w:rsid w:val="003C74B9"/>
    <w:rsid w:val="003C7C6D"/>
    <w:rsid w:val="003D0AF5"/>
    <w:rsid w:val="003D1363"/>
    <w:rsid w:val="003D48C4"/>
    <w:rsid w:val="003D4BF4"/>
    <w:rsid w:val="003D598F"/>
    <w:rsid w:val="003D5D88"/>
    <w:rsid w:val="003D7585"/>
    <w:rsid w:val="003D7757"/>
    <w:rsid w:val="003E036E"/>
    <w:rsid w:val="003E0423"/>
    <w:rsid w:val="003E1B41"/>
    <w:rsid w:val="003E5CBE"/>
    <w:rsid w:val="003E5CCC"/>
    <w:rsid w:val="003E71C8"/>
    <w:rsid w:val="003E733E"/>
    <w:rsid w:val="003E7B95"/>
    <w:rsid w:val="003E7C65"/>
    <w:rsid w:val="003F0A53"/>
    <w:rsid w:val="003F4B1E"/>
    <w:rsid w:val="003F4B7D"/>
    <w:rsid w:val="003F5E80"/>
    <w:rsid w:val="003F6936"/>
    <w:rsid w:val="003F7ED1"/>
    <w:rsid w:val="00400083"/>
    <w:rsid w:val="0040231E"/>
    <w:rsid w:val="00407668"/>
    <w:rsid w:val="00407DEC"/>
    <w:rsid w:val="004104A8"/>
    <w:rsid w:val="00411DCB"/>
    <w:rsid w:val="0041287D"/>
    <w:rsid w:val="00412BAF"/>
    <w:rsid w:val="004136FD"/>
    <w:rsid w:val="00413E7D"/>
    <w:rsid w:val="004141C1"/>
    <w:rsid w:val="0041464D"/>
    <w:rsid w:val="004159B1"/>
    <w:rsid w:val="00415BBC"/>
    <w:rsid w:val="004166C7"/>
    <w:rsid w:val="004166CE"/>
    <w:rsid w:val="004206F0"/>
    <w:rsid w:val="00421543"/>
    <w:rsid w:val="004216B7"/>
    <w:rsid w:val="00421C0A"/>
    <w:rsid w:val="004242AB"/>
    <w:rsid w:val="0042683C"/>
    <w:rsid w:val="00427004"/>
    <w:rsid w:val="0042772D"/>
    <w:rsid w:val="00427EFA"/>
    <w:rsid w:val="004310E8"/>
    <w:rsid w:val="004329BA"/>
    <w:rsid w:val="00433DB3"/>
    <w:rsid w:val="00433F2E"/>
    <w:rsid w:val="004346D8"/>
    <w:rsid w:val="00434F0C"/>
    <w:rsid w:val="00435A5A"/>
    <w:rsid w:val="00436260"/>
    <w:rsid w:val="004365A5"/>
    <w:rsid w:val="00436BC8"/>
    <w:rsid w:val="004416B4"/>
    <w:rsid w:val="0044201F"/>
    <w:rsid w:val="00442C9C"/>
    <w:rsid w:val="004437C1"/>
    <w:rsid w:val="00443967"/>
    <w:rsid w:val="00447527"/>
    <w:rsid w:val="00452A96"/>
    <w:rsid w:val="00455045"/>
    <w:rsid w:val="00456C63"/>
    <w:rsid w:val="00461985"/>
    <w:rsid w:val="0046324D"/>
    <w:rsid w:val="00463B3F"/>
    <w:rsid w:val="00464B79"/>
    <w:rsid w:val="00464D9E"/>
    <w:rsid w:val="00464E7E"/>
    <w:rsid w:val="0046688A"/>
    <w:rsid w:val="00466E2F"/>
    <w:rsid w:val="004674D0"/>
    <w:rsid w:val="00467573"/>
    <w:rsid w:val="00470096"/>
    <w:rsid w:val="0047009D"/>
    <w:rsid w:val="00470C1C"/>
    <w:rsid w:val="004713CF"/>
    <w:rsid w:val="00471896"/>
    <w:rsid w:val="004718E1"/>
    <w:rsid w:val="00471FC0"/>
    <w:rsid w:val="00472656"/>
    <w:rsid w:val="00473E78"/>
    <w:rsid w:val="0047424A"/>
    <w:rsid w:val="0047699E"/>
    <w:rsid w:val="00477EDB"/>
    <w:rsid w:val="00480856"/>
    <w:rsid w:val="00481890"/>
    <w:rsid w:val="00481944"/>
    <w:rsid w:val="00482223"/>
    <w:rsid w:val="00482B16"/>
    <w:rsid w:val="00484A8F"/>
    <w:rsid w:val="00484F32"/>
    <w:rsid w:val="004863FD"/>
    <w:rsid w:val="00486EF4"/>
    <w:rsid w:val="00487210"/>
    <w:rsid w:val="00491782"/>
    <w:rsid w:val="00491E27"/>
    <w:rsid w:val="004936E9"/>
    <w:rsid w:val="00493A1F"/>
    <w:rsid w:val="00495144"/>
    <w:rsid w:val="004954C5"/>
    <w:rsid w:val="004A1C47"/>
    <w:rsid w:val="004A366B"/>
    <w:rsid w:val="004A40EC"/>
    <w:rsid w:val="004A4323"/>
    <w:rsid w:val="004A4874"/>
    <w:rsid w:val="004A5B50"/>
    <w:rsid w:val="004A708C"/>
    <w:rsid w:val="004B072B"/>
    <w:rsid w:val="004B185E"/>
    <w:rsid w:val="004B22E3"/>
    <w:rsid w:val="004B31FF"/>
    <w:rsid w:val="004B3272"/>
    <w:rsid w:val="004B404F"/>
    <w:rsid w:val="004C2503"/>
    <w:rsid w:val="004C2C65"/>
    <w:rsid w:val="004C2D6F"/>
    <w:rsid w:val="004C6ACE"/>
    <w:rsid w:val="004D0051"/>
    <w:rsid w:val="004D00EB"/>
    <w:rsid w:val="004D05FC"/>
    <w:rsid w:val="004D0861"/>
    <w:rsid w:val="004D0EE2"/>
    <w:rsid w:val="004D1A53"/>
    <w:rsid w:val="004D1BBA"/>
    <w:rsid w:val="004D1E41"/>
    <w:rsid w:val="004D2004"/>
    <w:rsid w:val="004D28AE"/>
    <w:rsid w:val="004D2F59"/>
    <w:rsid w:val="004D3424"/>
    <w:rsid w:val="004D3D56"/>
    <w:rsid w:val="004D3F60"/>
    <w:rsid w:val="004D540D"/>
    <w:rsid w:val="004D7FAD"/>
    <w:rsid w:val="004E1D52"/>
    <w:rsid w:val="004E1F96"/>
    <w:rsid w:val="004E2125"/>
    <w:rsid w:val="004E2B32"/>
    <w:rsid w:val="004E2C71"/>
    <w:rsid w:val="004E32C5"/>
    <w:rsid w:val="004E4668"/>
    <w:rsid w:val="004E5F86"/>
    <w:rsid w:val="004E6A31"/>
    <w:rsid w:val="004E73CD"/>
    <w:rsid w:val="004F092B"/>
    <w:rsid w:val="004F2BB1"/>
    <w:rsid w:val="004F3025"/>
    <w:rsid w:val="004F4066"/>
    <w:rsid w:val="004F487A"/>
    <w:rsid w:val="004F5A84"/>
    <w:rsid w:val="004F68BB"/>
    <w:rsid w:val="004F6EEB"/>
    <w:rsid w:val="00500543"/>
    <w:rsid w:val="005014E3"/>
    <w:rsid w:val="005021B5"/>
    <w:rsid w:val="0050332A"/>
    <w:rsid w:val="00503AA9"/>
    <w:rsid w:val="00503FC8"/>
    <w:rsid w:val="00504CD4"/>
    <w:rsid w:val="005052F8"/>
    <w:rsid w:val="00506E9F"/>
    <w:rsid w:val="0050799D"/>
    <w:rsid w:val="00510504"/>
    <w:rsid w:val="00510BE9"/>
    <w:rsid w:val="00510E41"/>
    <w:rsid w:val="0051209B"/>
    <w:rsid w:val="0051263E"/>
    <w:rsid w:val="00512FB5"/>
    <w:rsid w:val="00512FFA"/>
    <w:rsid w:val="0051524D"/>
    <w:rsid w:val="0051589C"/>
    <w:rsid w:val="00520193"/>
    <w:rsid w:val="0052382D"/>
    <w:rsid w:val="00525FA0"/>
    <w:rsid w:val="005269D6"/>
    <w:rsid w:val="00530A85"/>
    <w:rsid w:val="005311E6"/>
    <w:rsid w:val="00532996"/>
    <w:rsid w:val="00533746"/>
    <w:rsid w:val="005349FD"/>
    <w:rsid w:val="00534AD1"/>
    <w:rsid w:val="0053558B"/>
    <w:rsid w:val="005364B2"/>
    <w:rsid w:val="00536781"/>
    <w:rsid w:val="005369A2"/>
    <w:rsid w:val="0053755D"/>
    <w:rsid w:val="00540970"/>
    <w:rsid w:val="005416E6"/>
    <w:rsid w:val="00541C1C"/>
    <w:rsid w:val="00541D82"/>
    <w:rsid w:val="005429DF"/>
    <w:rsid w:val="00543975"/>
    <w:rsid w:val="00543A36"/>
    <w:rsid w:val="00544BCF"/>
    <w:rsid w:val="00553CFF"/>
    <w:rsid w:val="005540C9"/>
    <w:rsid w:val="00555D0F"/>
    <w:rsid w:val="00556E9B"/>
    <w:rsid w:val="00556F49"/>
    <w:rsid w:val="0055713D"/>
    <w:rsid w:val="00557E56"/>
    <w:rsid w:val="00560075"/>
    <w:rsid w:val="00560EB0"/>
    <w:rsid w:val="0056320E"/>
    <w:rsid w:val="00563BCD"/>
    <w:rsid w:val="0056632B"/>
    <w:rsid w:val="00566F5C"/>
    <w:rsid w:val="005673F8"/>
    <w:rsid w:val="0057075A"/>
    <w:rsid w:val="00570E1B"/>
    <w:rsid w:val="0057106A"/>
    <w:rsid w:val="0057191E"/>
    <w:rsid w:val="00571C06"/>
    <w:rsid w:val="00571D81"/>
    <w:rsid w:val="00572B27"/>
    <w:rsid w:val="00572D72"/>
    <w:rsid w:val="0057314F"/>
    <w:rsid w:val="00573203"/>
    <w:rsid w:val="00574D42"/>
    <w:rsid w:val="005752F3"/>
    <w:rsid w:val="0058034B"/>
    <w:rsid w:val="00581CB6"/>
    <w:rsid w:val="005822EE"/>
    <w:rsid w:val="005825D7"/>
    <w:rsid w:val="00583B77"/>
    <w:rsid w:val="00583BAC"/>
    <w:rsid w:val="005875AD"/>
    <w:rsid w:val="00587EAA"/>
    <w:rsid w:val="00590059"/>
    <w:rsid w:val="0059028E"/>
    <w:rsid w:val="00591829"/>
    <w:rsid w:val="00591AB2"/>
    <w:rsid w:val="005934F0"/>
    <w:rsid w:val="005945CF"/>
    <w:rsid w:val="005964C3"/>
    <w:rsid w:val="00596624"/>
    <w:rsid w:val="00597F9E"/>
    <w:rsid w:val="005A0210"/>
    <w:rsid w:val="005A12A4"/>
    <w:rsid w:val="005A137C"/>
    <w:rsid w:val="005A1A94"/>
    <w:rsid w:val="005A3363"/>
    <w:rsid w:val="005A473C"/>
    <w:rsid w:val="005A4A8C"/>
    <w:rsid w:val="005A4AAC"/>
    <w:rsid w:val="005A4B5D"/>
    <w:rsid w:val="005A58A1"/>
    <w:rsid w:val="005A67C5"/>
    <w:rsid w:val="005A6D3D"/>
    <w:rsid w:val="005B041B"/>
    <w:rsid w:val="005B2FA1"/>
    <w:rsid w:val="005B4E3B"/>
    <w:rsid w:val="005B57CF"/>
    <w:rsid w:val="005C0223"/>
    <w:rsid w:val="005C18D1"/>
    <w:rsid w:val="005C3F44"/>
    <w:rsid w:val="005C4150"/>
    <w:rsid w:val="005C447D"/>
    <w:rsid w:val="005C4DA7"/>
    <w:rsid w:val="005C4FBB"/>
    <w:rsid w:val="005C613F"/>
    <w:rsid w:val="005C6664"/>
    <w:rsid w:val="005C6C25"/>
    <w:rsid w:val="005D0690"/>
    <w:rsid w:val="005D2065"/>
    <w:rsid w:val="005D2443"/>
    <w:rsid w:val="005D6480"/>
    <w:rsid w:val="005D6B2B"/>
    <w:rsid w:val="005E0B97"/>
    <w:rsid w:val="005E428F"/>
    <w:rsid w:val="005E5108"/>
    <w:rsid w:val="005E5BFC"/>
    <w:rsid w:val="005E66BE"/>
    <w:rsid w:val="005E7341"/>
    <w:rsid w:val="005E7FB9"/>
    <w:rsid w:val="005F0EAD"/>
    <w:rsid w:val="005F0FF9"/>
    <w:rsid w:val="005F1ADA"/>
    <w:rsid w:val="005F1E83"/>
    <w:rsid w:val="005F48A9"/>
    <w:rsid w:val="005F5455"/>
    <w:rsid w:val="005F5A05"/>
    <w:rsid w:val="005F5B67"/>
    <w:rsid w:val="00600714"/>
    <w:rsid w:val="00601C8D"/>
    <w:rsid w:val="00602D4F"/>
    <w:rsid w:val="00602F3D"/>
    <w:rsid w:val="00603888"/>
    <w:rsid w:val="006057F9"/>
    <w:rsid w:val="00607486"/>
    <w:rsid w:val="00610B06"/>
    <w:rsid w:val="0061363E"/>
    <w:rsid w:val="00613E18"/>
    <w:rsid w:val="00614F75"/>
    <w:rsid w:val="00615780"/>
    <w:rsid w:val="00615BBD"/>
    <w:rsid w:val="006172F6"/>
    <w:rsid w:val="006214D9"/>
    <w:rsid w:val="00624551"/>
    <w:rsid w:val="00624883"/>
    <w:rsid w:val="00624B6A"/>
    <w:rsid w:val="00625B4C"/>
    <w:rsid w:val="00625CCC"/>
    <w:rsid w:val="00625ED1"/>
    <w:rsid w:val="00625F3D"/>
    <w:rsid w:val="0062621C"/>
    <w:rsid w:val="006301AD"/>
    <w:rsid w:val="00630D38"/>
    <w:rsid w:val="00631FEC"/>
    <w:rsid w:val="0063212A"/>
    <w:rsid w:val="00632363"/>
    <w:rsid w:val="00632A6E"/>
    <w:rsid w:val="00632CE8"/>
    <w:rsid w:val="00634138"/>
    <w:rsid w:val="0063431B"/>
    <w:rsid w:val="00635004"/>
    <w:rsid w:val="0063542A"/>
    <w:rsid w:val="00635DDE"/>
    <w:rsid w:val="0064356E"/>
    <w:rsid w:val="00645DA6"/>
    <w:rsid w:val="00646ED8"/>
    <w:rsid w:val="00650BDE"/>
    <w:rsid w:val="006515D9"/>
    <w:rsid w:val="006516C7"/>
    <w:rsid w:val="00651A7F"/>
    <w:rsid w:val="00652F0B"/>
    <w:rsid w:val="006536F1"/>
    <w:rsid w:val="00653A1A"/>
    <w:rsid w:val="00654664"/>
    <w:rsid w:val="00654D5C"/>
    <w:rsid w:val="00656470"/>
    <w:rsid w:val="00656911"/>
    <w:rsid w:val="00660E61"/>
    <w:rsid w:val="00662B1E"/>
    <w:rsid w:val="00662FA7"/>
    <w:rsid w:val="00664E53"/>
    <w:rsid w:val="00665B17"/>
    <w:rsid w:val="00666508"/>
    <w:rsid w:val="0066690E"/>
    <w:rsid w:val="00672042"/>
    <w:rsid w:val="00673CAD"/>
    <w:rsid w:val="00675056"/>
    <w:rsid w:val="0067557F"/>
    <w:rsid w:val="006769A8"/>
    <w:rsid w:val="0068156D"/>
    <w:rsid w:val="006818DA"/>
    <w:rsid w:val="006822F7"/>
    <w:rsid w:val="006825F8"/>
    <w:rsid w:val="00683122"/>
    <w:rsid w:val="00685431"/>
    <w:rsid w:val="0068543F"/>
    <w:rsid w:val="00685C37"/>
    <w:rsid w:val="006903A1"/>
    <w:rsid w:val="00691932"/>
    <w:rsid w:val="00691973"/>
    <w:rsid w:val="00691AAC"/>
    <w:rsid w:val="0069245B"/>
    <w:rsid w:val="00692819"/>
    <w:rsid w:val="00692E08"/>
    <w:rsid w:val="00692E46"/>
    <w:rsid w:val="00694B2B"/>
    <w:rsid w:val="006A0124"/>
    <w:rsid w:val="006A183C"/>
    <w:rsid w:val="006A1E50"/>
    <w:rsid w:val="006A4C58"/>
    <w:rsid w:val="006A546E"/>
    <w:rsid w:val="006A6183"/>
    <w:rsid w:val="006A7685"/>
    <w:rsid w:val="006B10D1"/>
    <w:rsid w:val="006B282D"/>
    <w:rsid w:val="006B57ED"/>
    <w:rsid w:val="006B5F98"/>
    <w:rsid w:val="006B644C"/>
    <w:rsid w:val="006B6CA2"/>
    <w:rsid w:val="006B6FC4"/>
    <w:rsid w:val="006C1A10"/>
    <w:rsid w:val="006C1E16"/>
    <w:rsid w:val="006C243B"/>
    <w:rsid w:val="006C364B"/>
    <w:rsid w:val="006C3EFC"/>
    <w:rsid w:val="006C65C4"/>
    <w:rsid w:val="006C6FEA"/>
    <w:rsid w:val="006C7330"/>
    <w:rsid w:val="006C7F17"/>
    <w:rsid w:val="006D3283"/>
    <w:rsid w:val="006D3C7A"/>
    <w:rsid w:val="006E037A"/>
    <w:rsid w:val="006E06D9"/>
    <w:rsid w:val="006E09F1"/>
    <w:rsid w:val="006E279C"/>
    <w:rsid w:val="006E2ACC"/>
    <w:rsid w:val="006E31F4"/>
    <w:rsid w:val="006E3E61"/>
    <w:rsid w:val="006E4712"/>
    <w:rsid w:val="006E505A"/>
    <w:rsid w:val="006E54E8"/>
    <w:rsid w:val="006E56DC"/>
    <w:rsid w:val="006E7986"/>
    <w:rsid w:val="006E79ED"/>
    <w:rsid w:val="006F1DF1"/>
    <w:rsid w:val="006F3FD2"/>
    <w:rsid w:val="006F4B93"/>
    <w:rsid w:val="006F4D69"/>
    <w:rsid w:val="006F4EEE"/>
    <w:rsid w:val="006F5279"/>
    <w:rsid w:val="006F588C"/>
    <w:rsid w:val="006F593B"/>
    <w:rsid w:val="006F5E05"/>
    <w:rsid w:val="006F7446"/>
    <w:rsid w:val="006F7BD8"/>
    <w:rsid w:val="007001D4"/>
    <w:rsid w:val="0070105B"/>
    <w:rsid w:val="00701136"/>
    <w:rsid w:val="007016F6"/>
    <w:rsid w:val="007041EC"/>
    <w:rsid w:val="00704F0A"/>
    <w:rsid w:val="007065D3"/>
    <w:rsid w:val="00707144"/>
    <w:rsid w:val="0070779A"/>
    <w:rsid w:val="00707AD8"/>
    <w:rsid w:val="007101D7"/>
    <w:rsid w:val="0071079B"/>
    <w:rsid w:val="00712DB2"/>
    <w:rsid w:val="007148CF"/>
    <w:rsid w:val="00714DE0"/>
    <w:rsid w:val="007156DB"/>
    <w:rsid w:val="00716673"/>
    <w:rsid w:val="007167C1"/>
    <w:rsid w:val="00717EFE"/>
    <w:rsid w:val="00720672"/>
    <w:rsid w:val="00720CD4"/>
    <w:rsid w:val="00721892"/>
    <w:rsid w:val="00721B06"/>
    <w:rsid w:val="007222D2"/>
    <w:rsid w:val="00723218"/>
    <w:rsid w:val="00724AB7"/>
    <w:rsid w:val="00726F2D"/>
    <w:rsid w:val="007274ED"/>
    <w:rsid w:val="0073001A"/>
    <w:rsid w:val="0073022C"/>
    <w:rsid w:val="007308B2"/>
    <w:rsid w:val="00733CEE"/>
    <w:rsid w:val="00733F4B"/>
    <w:rsid w:val="00734054"/>
    <w:rsid w:val="00735D59"/>
    <w:rsid w:val="00737118"/>
    <w:rsid w:val="00737817"/>
    <w:rsid w:val="00740847"/>
    <w:rsid w:val="00741AB1"/>
    <w:rsid w:val="00742C2A"/>
    <w:rsid w:val="00743E63"/>
    <w:rsid w:val="007445AB"/>
    <w:rsid w:val="0074550B"/>
    <w:rsid w:val="007464FB"/>
    <w:rsid w:val="00746F6F"/>
    <w:rsid w:val="00747DE0"/>
    <w:rsid w:val="00750DB2"/>
    <w:rsid w:val="00753052"/>
    <w:rsid w:val="00753220"/>
    <w:rsid w:val="00753CA6"/>
    <w:rsid w:val="00756A85"/>
    <w:rsid w:val="00757FFD"/>
    <w:rsid w:val="00760655"/>
    <w:rsid w:val="00760A52"/>
    <w:rsid w:val="0076100F"/>
    <w:rsid w:val="007614EC"/>
    <w:rsid w:val="007623AF"/>
    <w:rsid w:val="00763E33"/>
    <w:rsid w:val="00763E79"/>
    <w:rsid w:val="00767DFB"/>
    <w:rsid w:val="00770005"/>
    <w:rsid w:val="00770294"/>
    <w:rsid w:val="00773227"/>
    <w:rsid w:val="00773871"/>
    <w:rsid w:val="00773D05"/>
    <w:rsid w:val="00774338"/>
    <w:rsid w:val="007748FF"/>
    <w:rsid w:val="00774960"/>
    <w:rsid w:val="00775A7C"/>
    <w:rsid w:val="00775E7E"/>
    <w:rsid w:val="007767D6"/>
    <w:rsid w:val="00777B52"/>
    <w:rsid w:val="007806C3"/>
    <w:rsid w:val="007816E7"/>
    <w:rsid w:val="007850A3"/>
    <w:rsid w:val="007860C7"/>
    <w:rsid w:val="007865EB"/>
    <w:rsid w:val="00787495"/>
    <w:rsid w:val="00791329"/>
    <w:rsid w:val="007917E5"/>
    <w:rsid w:val="00791B63"/>
    <w:rsid w:val="007926D9"/>
    <w:rsid w:val="00796126"/>
    <w:rsid w:val="007970C5"/>
    <w:rsid w:val="007978F0"/>
    <w:rsid w:val="007A0261"/>
    <w:rsid w:val="007A0B22"/>
    <w:rsid w:val="007A1A42"/>
    <w:rsid w:val="007A257B"/>
    <w:rsid w:val="007A6634"/>
    <w:rsid w:val="007B2318"/>
    <w:rsid w:val="007B3948"/>
    <w:rsid w:val="007B3DBD"/>
    <w:rsid w:val="007B452C"/>
    <w:rsid w:val="007B4EF9"/>
    <w:rsid w:val="007C19D5"/>
    <w:rsid w:val="007C1D18"/>
    <w:rsid w:val="007C1F8A"/>
    <w:rsid w:val="007C2554"/>
    <w:rsid w:val="007C2D95"/>
    <w:rsid w:val="007C34BE"/>
    <w:rsid w:val="007C3663"/>
    <w:rsid w:val="007C4A95"/>
    <w:rsid w:val="007C4AEB"/>
    <w:rsid w:val="007C5C5B"/>
    <w:rsid w:val="007C6901"/>
    <w:rsid w:val="007C6A0B"/>
    <w:rsid w:val="007D167D"/>
    <w:rsid w:val="007D2C24"/>
    <w:rsid w:val="007D71EF"/>
    <w:rsid w:val="007D7223"/>
    <w:rsid w:val="007D788A"/>
    <w:rsid w:val="007E0EE8"/>
    <w:rsid w:val="007E2582"/>
    <w:rsid w:val="007E2D9A"/>
    <w:rsid w:val="007E4FCF"/>
    <w:rsid w:val="007E5EBF"/>
    <w:rsid w:val="007F07F6"/>
    <w:rsid w:val="007F0FEB"/>
    <w:rsid w:val="007F19D7"/>
    <w:rsid w:val="007F1A01"/>
    <w:rsid w:val="007F4125"/>
    <w:rsid w:val="007F5621"/>
    <w:rsid w:val="007F722D"/>
    <w:rsid w:val="0080047F"/>
    <w:rsid w:val="00801DA4"/>
    <w:rsid w:val="00801F21"/>
    <w:rsid w:val="00802BB0"/>
    <w:rsid w:val="00803186"/>
    <w:rsid w:val="00804132"/>
    <w:rsid w:val="0080436C"/>
    <w:rsid w:val="00805BF6"/>
    <w:rsid w:val="00805E14"/>
    <w:rsid w:val="0080619E"/>
    <w:rsid w:val="00806768"/>
    <w:rsid w:val="008073B7"/>
    <w:rsid w:val="00811B1A"/>
    <w:rsid w:val="00812B9E"/>
    <w:rsid w:val="008144EE"/>
    <w:rsid w:val="00815874"/>
    <w:rsid w:val="00815C95"/>
    <w:rsid w:val="00817212"/>
    <w:rsid w:val="008178C8"/>
    <w:rsid w:val="00820644"/>
    <w:rsid w:val="008208EC"/>
    <w:rsid w:val="008213B2"/>
    <w:rsid w:val="00821A15"/>
    <w:rsid w:val="00821AF0"/>
    <w:rsid w:val="00826915"/>
    <w:rsid w:val="00826974"/>
    <w:rsid w:val="0083084D"/>
    <w:rsid w:val="00831A60"/>
    <w:rsid w:val="00831C23"/>
    <w:rsid w:val="00831DA5"/>
    <w:rsid w:val="008325AA"/>
    <w:rsid w:val="00834264"/>
    <w:rsid w:val="008345FE"/>
    <w:rsid w:val="00834850"/>
    <w:rsid w:val="00840CEA"/>
    <w:rsid w:val="00840D09"/>
    <w:rsid w:val="0084143A"/>
    <w:rsid w:val="00841736"/>
    <w:rsid w:val="00841B7C"/>
    <w:rsid w:val="00841CD9"/>
    <w:rsid w:val="00842150"/>
    <w:rsid w:val="00842F6E"/>
    <w:rsid w:val="008439BE"/>
    <w:rsid w:val="0084516A"/>
    <w:rsid w:val="00847B6E"/>
    <w:rsid w:val="00847DE2"/>
    <w:rsid w:val="008528E2"/>
    <w:rsid w:val="00852EB6"/>
    <w:rsid w:val="008536A6"/>
    <w:rsid w:val="00854288"/>
    <w:rsid w:val="008553FD"/>
    <w:rsid w:val="0085571F"/>
    <w:rsid w:val="00856382"/>
    <w:rsid w:val="008610DF"/>
    <w:rsid w:val="00861C2E"/>
    <w:rsid w:val="0086352E"/>
    <w:rsid w:val="008638E0"/>
    <w:rsid w:val="0086552D"/>
    <w:rsid w:val="008664C6"/>
    <w:rsid w:val="008673D5"/>
    <w:rsid w:val="0087195F"/>
    <w:rsid w:val="008723BE"/>
    <w:rsid w:val="008729DD"/>
    <w:rsid w:val="00873835"/>
    <w:rsid w:val="00875DF7"/>
    <w:rsid w:val="008776D1"/>
    <w:rsid w:val="00877EAF"/>
    <w:rsid w:val="0088019B"/>
    <w:rsid w:val="00881AC0"/>
    <w:rsid w:val="00884A8C"/>
    <w:rsid w:val="008867FC"/>
    <w:rsid w:val="00886ACB"/>
    <w:rsid w:val="008875D4"/>
    <w:rsid w:val="00887F94"/>
    <w:rsid w:val="008900C3"/>
    <w:rsid w:val="00890622"/>
    <w:rsid w:val="008942CB"/>
    <w:rsid w:val="00894903"/>
    <w:rsid w:val="00894DC5"/>
    <w:rsid w:val="008951BC"/>
    <w:rsid w:val="00895C5B"/>
    <w:rsid w:val="008970B4"/>
    <w:rsid w:val="0089718E"/>
    <w:rsid w:val="008A0AFB"/>
    <w:rsid w:val="008A2163"/>
    <w:rsid w:val="008A2B85"/>
    <w:rsid w:val="008A33DD"/>
    <w:rsid w:val="008A3597"/>
    <w:rsid w:val="008A3985"/>
    <w:rsid w:val="008A3CFB"/>
    <w:rsid w:val="008A42D6"/>
    <w:rsid w:val="008A630E"/>
    <w:rsid w:val="008A6BC4"/>
    <w:rsid w:val="008A724F"/>
    <w:rsid w:val="008A72B9"/>
    <w:rsid w:val="008B1CB5"/>
    <w:rsid w:val="008B431C"/>
    <w:rsid w:val="008B558B"/>
    <w:rsid w:val="008B7C2F"/>
    <w:rsid w:val="008C0EF2"/>
    <w:rsid w:val="008C126B"/>
    <w:rsid w:val="008C2272"/>
    <w:rsid w:val="008C6AAB"/>
    <w:rsid w:val="008C707C"/>
    <w:rsid w:val="008C7F42"/>
    <w:rsid w:val="008D11A7"/>
    <w:rsid w:val="008D1C6B"/>
    <w:rsid w:val="008D1CCF"/>
    <w:rsid w:val="008D29ED"/>
    <w:rsid w:val="008D418A"/>
    <w:rsid w:val="008D46AD"/>
    <w:rsid w:val="008D6EBA"/>
    <w:rsid w:val="008E157C"/>
    <w:rsid w:val="008E1A96"/>
    <w:rsid w:val="008E3294"/>
    <w:rsid w:val="008E3BAE"/>
    <w:rsid w:val="008E4737"/>
    <w:rsid w:val="008F29AB"/>
    <w:rsid w:val="008F33F5"/>
    <w:rsid w:val="008F42F5"/>
    <w:rsid w:val="008F45C7"/>
    <w:rsid w:val="00902C76"/>
    <w:rsid w:val="00906FBC"/>
    <w:rsid w:val="00907932"/>
    <w:rsid w:val="00907A1F"/>
    <w:rsid w:val="009109FE"/>
    <w:rsid w:val="00910CEF"/>
    <w:rsid w:val="00911D84"/>
    <w:rsid w:val="009129C6"/>
    <w:rsid w:val="00912EF3"/>
    <w:rsid w:val="009132F5"/>
    <w:rsid w:val="00914978"/>
    <w:rsid w:val="00915D67"/>
    <w:rsid w:val="009173E6"/>
    <w:rsid w:val="00917BC6"/>
    <w:rsid w:val="00920591"/>
    <w:rsid w:val="00920F61"/>
    <w:rsid w:val="00921486"/>
    <w:rsid w:val="00922E9E"/>
    <w:rsid w:val="00925B37"/>
    <w:rsid w:val="00927387"/>
    <w:rsid w:val="00927476"/>
    <w:rsid w:val="00927BA9"/>
    <w:rsid w:val="009309B8"/>
    <w:rsid w:val="00931375"/>
    <w:rsid w:val="0093139B"/>
    <w:rsid w:val="0093161D"/>
    <w:rsid w:val="009328D3"/>
    <w:rsid w:val="00932953"/>
    <w:rsid w:val="009338EF"/>
    <w:rsid w:val="009344ED"/>
    <w:rsid w:val="0093736C"/>
    <w:rsid w:val="0094300C"/>
    <w:rsid w:val="00943369"/>
    <w:rsid w:val="00945A10"/>
    <w:rsid w:val="0094671A"/>
    <w:rsid w:val="009467E0"/>
    <w:rsid w:val="009472DF"/>
    <w:rsid w:val="009517F8"/>
    <w:rsid w:val="009520C1"/>
    <w:rsid w:val="00953232"/>
    <w:rsid w:val="009539EE"/>
    <w:rsid w:val="00953B1A"/>
    <w:rsid w:val="00953D8B"/>
    <w:rsid w:val="009541EC"/>
    <w:rsid w:val="0095556E"/>
    <w:rsid w:val="0095568C"/>
    <w:rsid w:val="00957185"/>
    <w:rsid w:val="00960673"/>
    <w:rsid w:val="009609DA"/>
    <w:rsid w:val="00962A48"/>
    <w:rsid w:val="009639AA"/>
    <w:rsid w:val="00963DF8"/>
    <w:rsid w:val="009640E7"/>
    <w:rsid w:val="00965BFD"/>
    <w:rsid w:val="00966103"/>
    <w:rsid w:val="009672C8"/>
    <w:rsid w:val="009673D9"/>
    <w:rsid w:val="0097016C"/>
    <w:rsid w:val="0097384E"/>
    <w:rsid w:val="00974177"/>
    <w:rsid w:val="00975CBA"/>
    <w:rsid w:val="00975FE6"/>
    <w:rsid w:val="00976466"/>
    <w:rsid w:val="00977D5D"/>
    <w:rsid w:val="00977E13"/>
    <w:rsid w:val="00982534"/>
    <w:rsid w:val="00982A0A"/>
    <w:rsid w:val="009841EB"/>
    <w:rsid w:val="00984364"/>
    <w:rsid w:val="00985128"/>
    <w:rsid w:val="0098661F"/>
    <w:rsid w:val="00987A7C"/>
    <w:rsid w:val="00987EBF"/>
    <w:rsid w:val="00987FD4"/>
    <w:rsid w:val="0099073C"/>
    <w:rsid w:val="0099117D"/>
    <w:rsid w:val="00992219"/>
    <w:rsid w:val="009924F9"/>
    <w:rsid w:val="00992774"/>
    <w:rsid w:val="00993582"/>
    <w:rsid w:val="00995399"/>
    <w:rsid w:val="009972AF"/>
    <w:rsid w:val="0099743A"/>
    <w:rsid w:val="009A032A"/>
    <w:rsid w:val="009A0595"/>
    <w:rsid w:val="009A1917"/>
    <w:rsid w:val="009A25BE"/>
    <w:rsid w:val="009A2CAE"/>
    <w:rsid w:val="009A2E43"/>
    <w:rsid w:val="009A35FA"/>
    <w:rsid w:val="009A4A8A"/>
    <w:rsid w:val="009A56C6"/>
    <w:rsid w:val="009A63DC"/>
    <w:rsid w:val="009A6626"/>
    <w:rsid w:val="009A734E"/>
    <w:rsid w:val="009B1908"/>
    <w:rsid w:val="009B3B34"/>
    <w:rsid w:val="009B4019"/>
    <w:rsid w:val="009B4FCD"/>
    <w:rsid w:val="009B61C9"/>
    <w:rsid w:val="009B7243"/>
    <w:rsid w:val="009C19E8"/>
    <w:rsid w:val="009C1F47"/>
    <w:rsid w:val="009C2BE8"/>
    <w:rsid w:val="009C3827"/>
    <w:rsid w:val="009C4E53"/>
    <w:rsid w:val="009C6EA5"/>
    <w:rsid w:val="009D1896"/>
    <w:rsid w:val="009D2756"/>
    <w:rsid w:val="009D2FDC"/>
    <w:rsid w:val="009D4392"/>
    <w:rsid w:val="009D456F"/>
    <w:rsid w:val="009D50F4"/>
    <w:rsid w:val="009D5108"/>
    <w:rsid w:val="009D5311"/>
    <w:rsid w:val="009D61C5"/>
    <w:rsid w:val="009D6418"/>
    <w:rsid w:val="009D657E"/>
    <w:rsid w:val="009D7589"/>
    <w:rsid w:val="009E0004"/>
    <w:rsid w:val="009E03C0"/>
    <w:rsid w:val="009E158B"/>
    <w:rsid w:val="009E19E5"/>
    <w:rsid w:val="009E1E37"/>
    <w:rsid w:val="009E215A"/>
    <w:rsid w:val="009E296D"/>
    <w:rsid w:val="009E44FE"/>
    <w:rsid w:val="009E4EB8"/>
    <w:rsid w:val="009E546B"/>
    <w:rsid w:val="009E6CA8"/>
    <w:rsid w:val="009F1051"/>
    <w:rsid w:val="009F20C9"/>
    <w:rsid w:val="009F23F6"/>
    <w:rsid w:val="009F3E26"/>
    <w:rsid w:val="009F41EA"/>
    <w:rsid w:val="009F4DA2"/>
    <w:rsid w:val="009F546C"/>
    <w:rsid w:val="009F5BC3"/>
    <w:rsid w:val="009F6475"/>
    <w:rsid w:val="009F72A4"/>
    <w:rsid w:val="009F7750"/>
    <w:rsid w:val="00A01C22"/>
    <w:rsid w:val="00A03E4D"/>
    <w:rsid w:val="00A12455"/>
    <w:rsid w:val="00A151C7"/>
    <w:rsid w:val="00A1563C"/>
    <w:rsid w:val="00A2083C"/>
    <w:rsid w:val="00A21675"/>
    <w:rsid w:val="00A219C4"/>
    <w:rsid w:val="00A22A61"/>
    <w:rsid w:val="00A22D83"/>
    <w:rsid w:val="00A23771"/>
    <w:rsid w:val="00A23C2F"/>
    <w:rsid w:val="00A25370"/>
    <w:rsid w:val="00A25E1B"/>
    <w:rsid w:val="00A26228"/>
    <w:rsid w:val="00A26DAC"/>
    <w:rsid w:val="00A300DE"/>
    <w:rsid w:val="00A30A6B"/>
    <w:rsid w:val="00A31B54"/>
    <w:rsid w:val="00A3252D"/>
    <w:rsid w:val="00A334F5"/>
    <w:rsid w:val="00A34591"/>
    <w:rsid w:val="00A34FEA"/>
    <w:rsid w:val="00A355F7"/>
    <w:rsid w:val="00A357F6"/>
    <w:rsid w:val="00A36066"/>
    <w:rsid w:val="00A37D80"/>
    <w:rsid w:val="00A4111B"/>
    <w:rsid w:val="00A41B6D"/>
    <w:rsid w:val="00A4239B"/>
    <w:rsid w:val="00A43610"/>
    <w:rsid w:val="00A449E2"/>
    <w:rsid w:val="00A4617A"/>
    <w:rsid w:val="00A502A1"/>
    <w:rsid w:val="00A51317"/>
    <w:rsid w:val="00A516E6"/>
    <w:rsid w:val="00A51762"/>
    <w:rsid w:val="00A51783"/>
    <w:rsid w:val="00A522BA"/>
    <w:rsid w:val="00A53115"/>
    <w:rsid w:val="00A54107"/>
    <w:rsid w:val="00A55556"/>
    <w:rsid w:val="00A56CB6"/>
    <w:rsid w:val="00A573DD"/>
    <w:rsid w:val="00A57922"/>
    <w:rsid w:val="00A57AFB"/>
    <w:rsid w:val="00A60585"/>
    <w:rsid w:val="00A60B3A"/>
    <w:rsid w:val="00A615B1"/>
    <w:rsid w:val="00A63725"/>
    <w:rsid w:val="00A64818"/>
    <w:rsid w:val="00A648DC"/>
    <w:rsid w:val="00A64AB7"/>
    <w:rsid w:val="00A656EE"/>
    <w:rsid w:val="00A6618D"/>
    <w:rsid w:val="00A66DBB"/>
    <w:rsid w:val="00A670A7"/>
    <w:rsid w:val="00A67359"/>
    <w:rsid w:val="00A676AB"/>
    <w:rsid w:val="00A67A64"/>
    <w:rsid w:val="00A70225"/>
    <w:rsid w:val="00A708D6"/>
    <w:rsid w:val="00A7100F"/>
    <w:rsid w:val="00A717B3"/>
    <w:rsid w:val="00A71827"/>
    <w:rsid w:val="00A71D5C"/>
    <w:rsid w:val="00A74567"/>
    <w:rsid w:val="00A74F00"/>
    <w:rsid w:val="00A76512"/>
    <w:rsid w:val="00A82522"/>
    <w:rsid w:val="00A83A60"/>
    <w:rsid w:val="00A83C5B"/>
    <w:rsid w:val="00A8430B"/>
    <w:rsid w:val="00A856B9"/>
    <w:rsid w:val="00A85ACF"/>
    <w:rsid w:val="00A85FAD"/>
    <w:rsid w:val="00A91740"/>
    <w:rsid w:val="00A951A3"/>
    <w:rsid w:val="00A97C55"/>
    <w:rsid w:val="00A97E61"/>
    <w:rsid w:val="00AA09BD"/>
    <w:rsid w:val="00AA13D4"/>
    <w:rsid w:val="00AA1EE8"/>
    <w:rsid w:val="00AA20F3"/>
    <w:rsid w:val="00AA25FF"/>
    <w:rsid w:val="00AA27D1"/>
    <w:rsid w:val="00AA3BA9"/>
    <w:rsid w:val="00AA4D9E"/>
    <w:rsid w:val="00AA4EA3"/>
    <w:rsid w:val="00AA5A3A"/>
    <w:rsid w:val="00AA68B8"/>
    <w:rsid w:val="00AA7B27"/>
    <w:rsid w:val="00AA7CB9"/>
    <w:rsid w:val="00AB0305"/>
    <w:rsid w:val="00AB0ADC"/>
    <w:rsid w:val="00AB1536"/>
    <w:rsid w:val="00AB180A"/>
    <w:rsid w:val="00AB1EA1"/>
    <w:rsid w:val="00AB59A9"/>
    <w:rsid w:val="00AB6D72"/>
    <w:rsid w:val="00AB705D"/>
    <w:rsid w:val="00AB7399"/>
    <w:rsid w:val="00AC15EA"/>
    <w:rsid w:val="00AC181D"/>
    <w:rsid w:val="00AC1EF3"/>
    <w:rsid w:val="00AC34BC"/>
    <w:rsid w:val="00AC3FC0"/>
    <w:rsid w:val="00AC4E94"/>
    <w:rsid w:val="00AD0508"/>
    <w:rsid w:val="00AD1884"/>
    <w:rsid w:val="00AD2798"/>
    <w:rsid w:val="00AD3E3C"/>
    <w:rsid w:val="00AD43C1"/>
    <w:rsid w:val="00AD44F6"/>
    <w:rsid w:val="00AD489E"/>
    <w:rsid w:val="00AD6CB2"/>
    <w:rsid w:val="00AD7463"/>
    <w:rsid w:val="00AE0AA8"/>
    <w:rsid w:val="00AE17DE"/>
    <w:rsid w:val="00AE4316"/>
    <w:rsid w:val="00AE53B6"/>
    <w:rsid w:val="00AE6437"/>
    <w:rsid w:val="00AE716E"/>
    <w:rsid w:val="00AE723B"/>
    <w:rsid w:val="00AE7264"/>
    <w:rsid w:val="00AF2B9D"/>
    <w:rsid w:val="00AF3711"/>
    <w:rsid w:val="00AF3B12"/>
    <w:rsid w:val="00AF4040"/>
    <w:rsid w:val="00AF460F"/>
    <w:rsid w:val="00AF6245"/>
    <w:rsid w:val="00AF6A30"/>
    <w:rsid w:val="00AF73D9"/>
    <w:rsid w:val="00AF7945"/>
    <w:rsid w:val="00AF7F48"/>
    <w:rsid w:val="00B0063E"/>
    <w:rsid w:val="00B01721"/>
    <w:rsid w:val="00B02B1A"/>
    <w:rsid w:val="00B04743"/>
    <w:rsid w:val="00B06A73"/>
    <w:rsid w:val="00B07317"/>
    <w:rsid w:val="00B074E7"/>
    <w:rsid w:val="00B1109F"/>
    <w:rsid w:val="00B1261F"/>
    <w:rsid w:val="00B13E33"/>
    <w:rsid w:val="00B1484D"/>
    <w:rsid w:val="00B16ED5"/>
    <w:rsid w:val="00B173AF"/>
    <w:rsid w:val="00B17EFA"/>
    <w:rsid w:val="00B202B1"/>
    <w:rsid w:val="00B2083E"/>
    <w:rsid w:val="00B21F23"/>
    <w:rsid w:val="00B23340"/>
    <w:rsid w:val="00B2484F"/>
    <w:rsid w:val="00B25F24"/>
    <w:rsid w:val="00B27847"/>
    <w:rsid w:val="00B3112E"/>
    <w:rsid w:val="00B312C1"/>
    <w:rsid w:val="00B3297E"/>
    <w:rsid w:val="00B33076"/>
    <w:rsid w:val="00B3326C"/>
    <w:rsid w:val="00B33A6E"/>
    <w:rsid w:val="00B351FF"/>
    <w:rsid w:val="00B358B4"/>
    <w:rsid w:val="00B36029"/>
    <w:rsid w:val="00B4090E"/>
    <w:rsid w:val="00B413E3"/>
    <w:rsid w:val="00B413F1"/>
    <w:rsid w:val="00B426DE"/>
    <w:rsid w:val="00B436B3"/>
    <w:rsid w:val="00B43E14"/>
    <w:rsid w:val="00B447FE"/>
    <w:rsid w:val="00B44925"/>
    <w:rsid w:val="00B44FE2"/>
    <w:rsid w:val="00B458FD"/>
    <w:rsid w:val="00B465C3"/>
    <w:rsid w:val="00B47904"/>
    <w:rsid w:val="00B51527"/>
    <w:rsid w:val="00B524BA"/>
    <w:rsid w:val="00B5259B"/>
    <w:rsid w:val="00B52B87"/>
    <w:rsid w:val="00B537F6"/>
    <w:rsid w:val="00B53990"/>
    <w:rsid w:val="00B53D60"/>
    <w:rsid w:val="00B53FF0"/>
    <w:rsid w:val="00B54DAC"/>
    <w:rsid w:val="00B57074"/>
    <w:rsid w:val="00B608AA"/>
    <w:rsid w:val="00B60B46"/>
    <w:rsid w:val="00B61901"/>
    <w:rsid w:val="00B62C23"/>
    <w:rsid w:val="00B64CCB"/>
    <w:rsid w:val="00B65D09"/>
    <w:rsid w:val="00B65ED9"/>
    <w:rsid w:val="00B66794"/>
    <w:rsid w:val="00B66CAB"/>
    <w:rsid w:val="00B67216"/>
    <w:rsid w:val="00B702C8"/>
    <w:rsid w:val="00B7460B"/>
    <w:rsid w:val="00B750E9"/>
    <w:rsid w:val="00B75772"/>
    <w:rsid w:val="00B758DA"/>
    <w:rsid w:val="00B75EEC"/>
    <w:rsid w:val="00B75F23"/>
    <w:rsid w:val="00B761CA"/>
    <w:rsid w:val="00B778C2"/>
    <w:rsid w:val="00B8110E"/>
    <w:rsid w:val="00B81913"/>
    <w:rsid w:val="00B81D0E"/>
    <w:rsid w:val="00B8279D"/>
    <w:rsid w:val="00B832B6"/>
    <w:rsid w:val="00B84879"/>
    <w:rsid w:val="00B84D44"/>
    <w:rsid w:val="00B84DB0"/>
    <w:rsid w:val="00B8515A"/>
    <w:rsid w:val="00B8522D"/>
    <w:rsid w:val="00B855AC"/>
    <w:rsid w:val="00B900E4"/>
    <w:rsid w:val="00B913A8"/>
    <w:rsid w:val="00B9201F"/>
    <w:rsid w:val="00B9304C"/>
    <w:rsid w:val="00B93686"/>
    <w:rsid w:val="00B9423C"/>
    <w:rsid w:val="00B976D7"/>
    <w:rsid w:val="00BA0A14"/>
    <w:rsid w:val="00BA197A"/>
    <w:rsid w:val="00BA250E"/>
    <w:rsid w:val="00BA2719"/>
    <w:rsid w:val="00BA37FE"/>
    <w:rsid w:val="00BA3FDB"/>
    <w:rsid w:val="00BA6628"/>
    <w:rsid w:val="00BA7F9B"/>
    <w:rsid w:val="00BB0A36"/>
    <w:rsid w:val="00BB0A57"/>
    <w:rsid w:val="00BB0C6D"/>
    <w:rsid w:val="00BB2546"/>
    <w:rsid w:val="00BB28A8"/>
    <w:rsid w:val="00BB3692"/>
    <w:rsid w:val="00BB42DF"/>
    <w:rsid w:val="00BB5D2E"/>
    <w:rsid w:val="00BB6DA0"/>
    <w:rsid w:val="00BB76D5"/>
    <w:rsid w:val="00BB7AAC"/>
    <w:rsid w:val="00BC079A"/>
    <w:rsid w:val="00BC1BCA"/>
    <w:rsid w:val="00BC21E8"/>
    <w:rsid w:val="00BC25E6"/>
    <w:rsid w:val="00BC2D3F"/>
    <w:rsid w:val="00BC3187"/>
    <w:rsid w:val="00BC3DC3"/>
    <w:rsid w:val="00BC5D7D"/>
    <w:rsid w:val="00BC6845"/>
    <w:rsid w:val="00BC7ACB"/>
    <w:rsid w:val="00BD1D73"/>
    <w:rsid w:val="00BD2D69"/>
    <w:rsid w:val="00BD5927"/>
    <w:rsid w:val="00BD5BCF"/>
    <w:rsid w:val="00BD5E69"/>
    <w:rsid w:val="00BD64DF"/>
    <w:rsid w:val="00BD76B5"/>
    <w:rsid w:val="00BD78B0"/>
    <w:rsid w:val="00BE05AA"/>
    <w:rsid w:val="00BE0A9D"/>
    <w:rsid w:val="00BE14C9"/>
    <w:rsid w:val="00BE4149"/>
    <w:rsid w:val="00BE4323"/>
    <w:rsid w:val="00BE6456"/>
    <w:rsid w:val="00BE70E4"/>
    <w:rsid w:val="00BE75E8"/>
    <w:rsid w:val="00BF002A"/>
    <w:rsid w:val="00BF0E1D"/>
    <w:rsid w:val="00BF1A0C"/>
    <w:rsid w:val="00BF1C20"/>
    <w:rsid w:val="00BF1FDC"/>
    <w:rsid w:val="00BF2DC1"/>
    <w:rsid w:val="00BF2F4C"/>
    <w:rsid w:val="00BF3660"/>
    <w:rsid w:val="00BF370A"/>
    <w:rsid w:val="00BF5CE7"/>
    <w:rsid w:val="00C012C7"/>
    <w:rsid w:val="00C016B4"/>
    <w:rsid w:val="00C05479"/>
    <w:rsid w:val="00C061A4"/>
    <w:rsid w:val="00C06494"/>
    <w:rsid w:val="00C07851"/>
    <w:rsid w:val="00C07D10"/>
    <w:rsid w:val="00C10237"/>
    <w:rsid w:val="00C108F1"/>
    <w:rsid w:val="00C12171"/>
    <w:rsid w:val="00C148F3"/>
    <w:rsid w:val="00C14EB4"/>
    <w:rsid w:val="00C15F1B"/>
    <w:rsid w:val="00C21EB9"/>
    <w:rsid w:val="00C24C8A"/>
    <w:rsid w:val="00C25B2B"/>
    <w:rsid w:val="00C27F3F"/>
    <w:rsid w:val="00C30708"/>
    <w:rsid w:val="00C31121"/>
    <w:rsid w:val="00C313DE"/>
    <w:rsid w:val="00C32138"/>
    <w:rsid w:val="00C35A6A"/>
    <w:rsid w:val="00C4033D"/>
    <w:rsid w:val="00C4113F"/>
    <w:rsid w:val="00C41F17"/>
    <w:rsid w:val="00C43291"/>
    <w:rsid w:val="00C44528"/>
    <w:rsid w:val="00C459B4"/>
    <w:rsid w:val="00C45E70"/>
    <w:rsid w:val="00C47905"/>
    <w:rsid w:val="00C47EB9"/>
    <w:rsid w:val="00C50D53"/>
    <w:rsid w:val="00C50DD2"/>
    <w:rsid w:val="00C50EC1"/>
    <w:rsid w:val="00C5286D"/>
    <w:rsid w:val="00C5494C"/>
    <w:rsid w:val="00C5686E"/>
    <w:rsid w:val="00C6095A"/>
    <w:rsid w:val="00C619BC"/>
    <w:rsid w:val="00C62A4F"/>
    <w:rsid w:val="00C62C9B"/>
    <w:rsid w:val="00C676B4"/>
    <w:rsid w:val="00C67A61"/>
    <w:rsid w:val="00C7060B"/>
    <w:rsid w:val="00C71367"/>
    <w:rsid w:val="00C72405"/>
    <w:rsid w:val="00C76D30"/>
    <w:rsid w:val="00C7765F"/>
    <w:rsid w:val="00C84D7B"/>
    <w:rsid w:val="00C853D0"/>
    <w:rsid w:val="00C85C35"/>
    <w:rsid w:val="00C86734"/>
    <w:rsid w:val="00C86EFC"/>
    <w:rsid w:val="00C901E4"/>
    <w:rsid w:val="00C92B0B"/>
    <w:rsid w:val="00C92C50"/>
    <w:rsid w:val="00C9380C"/>
    <w:rsid w:val="00C938B7"/>
    <w:rsid w:val="00C95228"/>
    <w:rsid w:val="00C957B1"/>
    <w:rsid w:val="00C95B9E"/>
    <w:rsid w:val="00C97997"/>
    <w:rsid w:val="00CA1C8E"/>
    <w:rsid w:val="00CA3962"/>
    <w:rsid w:val="00CA44D1"/>
    <w:rsid w:val="00CA4BD6"/>
    <w:rsid w:val="00CA58EE"/>
    <w:rsid w:val="00CA5982"/>
    <w:rsid w:val="00CA6AF8"/>
    <w:rsid w:val="00CB0E92"/>
    <w:rsid w:val="00CB2F99"/>
    <w:rsid w:val="00CB3414"/>
    <w:rsid w:val="00CB6560"/>
    <w:rsid w:val="00CB6568"/>
    <w:rsid w:val="00CB6F3C"/>
    <w:rsid w:val="00CB7A8B"/>
    <w:rsid w:val="00CC01E9"/>
    <w:rsid w:val="00CC079D"/>
    <w:rsid w:val="00CC2A5E"/>
    <w:rsid w:val="00CC70EA"/>
    <w:rsid w:val="00CD09B3"/>
    <w:rsid w:val="00CD2853"/>
    <w:rsid w:val="00CD2D2A"/>
    <w:rsid w:val="00CD2DEA"/>
    <w:rsid w:val="00CD3E9C"/>
    <w:rsid w:val="00CD542E"/>
    <w:rsid w:val="00CE04CF"/>
    <w:rsid w:val="00CE40E7"/>
    <w:rsid w:val="00CE4FD0"/>
    <w:rsid w:val="00CE5120"/>
    <w:rsid w:val="00CE5369"/>
    <w:rsid w:val="00CE56B1"/>
    <w:rsid w:val="00CE5F03"/>
    <w:rsid w:val="00CE65F9"/>
    <w:rsid w:val="00CF1014"/>
    <w:rsid w:val="00CF1ACA"/>
    <w:rsid w:val="00CF1D07"/>
    <w:rsid w:val="00CF368F"/>
    <w:rsid w:val="00CF46C3"/>
    <w:rsid w:val="00CF4E4D"/>
    <w:rsid w:val="00D01184"/>
    <w:rsid w:val="00D04871"/>
    <w:rsid w:val="00D04943"/>
    <w:rsid w:val="00D053F1"/>
    <w:rsid w:val="00D06747"/>
    <w:rsid w:val="00D07370"/>
    <w:rsid w:val="00D07F16"/>
    <w:rsid w:val="00D11105"/>
    <w:rsid w:val="00D12A43"/>
    <w:rsid w:val="00D1407F"/>
    <w:rsid w:val="00D14910"/>
    <w:rsid w:val="00D15678"/>
    <w:rsid w:val="00D15ADA"/>
    <w:rsid w:val="00D17142"/>
    <w:rsid w:val="00D207D4"/>
    <w:rsid w:val="00D20C23"/>
    <w:rsid w:val="00D2169C"/>
    <w:rsid w:val="00D21F1C"/>
    <w:rsid w:val="00D21FF1"/>
    <w:rsid w:val="00D23125"/>
    <w:rsid w:val="00D232FD"/>
    <w:rsid w:val="00D238B3"/>
    <w:rsid w:val="00D23A12"/>
    <w:rsid w:val="00D2573E"/>
    <w:rsid w:val="00D2643B"/>
    <w:rsid w:val="00D2664C"/>
    <w:rsid w:val="00D31282"/>
    <w:rsid w:val="00D32E62"/>
    <w:rsid w:val="00D32F30"/>
    <w:rsid w:val="00D33659"/>
    <w:rsid w:val="00D33D56"/>
    <w:rsid w:val="00D3455A"/>
    <w:rsid w:val="00D3486D"/>
    <w:rsid w:val="00D375E3"/>
    <w:rsid w:val="00D4017F"/>
    <w:rsid w:val="00D41420"/>
    <w:rsid w:val="00D427AA"/>
    <w:rsid w:val="00D42B3F"/>
    <w:rsid w:val="00D43244"/>
    <w:rsid w:val="00D43376"/>
    <w:rsid w:val="00D4426A"/>
    <w:rsid w:val="00D442CE"/>
    <w:rsid w:val="00D44343"/>
    <w:rsid w:val="00D449AF"/>
    <w:rsid w:val="00D44FEA"/>
    <w:rsid w:val="00D47EC3"/>
    <w:rsid w:val="00D47FE3"/>
    <w:rsid w:val="00D511E8"/>
    <w:rsid w:val="00D519D8"/>
    <w:rsid w:val="00D52DB3"/>
    <w:rsid w:val="00D535DE"/>
    <w:rsid w:val="00D54731"/>
    <w:rsid w:val="00D5511D"/>
    <w:rsid w:val="00D553A0"/>
    <w:rsid w:val="00D5561B"/>
    <w:rsid w:val="00D55F5E"/>
    <w:rsid w:val="00D56469"/>
    <w:rsid w:val="00D61883"/>
    <w:rsid w:val="00D622B3"/>
    <w:rsid w:val="00D6236A"/>
    <w:rsid w:val="00D6310A"/>
    <w:rsid w:val="00D632E1"/>
    <w:rsid w:val="00D637E2"/>
    <w:rsid w:val="00D64CE0"/>
    <w:rsid w:val="00D650C5"/>
    <w:rsid w:val="00D666F9"/>
    <w:rsid w:val="00D672AB"/>
    <w:rsid w:val="00D70FCF"/>
    <w:rsid w:val="00D714B1"/>
    <w:rsid w:val="00D715DD"/>
    <w:rsid w:val="00D716C8"/>
    <w:rsid w:val="00D71770"/>
    <w:rsid w:val="00D74095"/>
    <w:rsid w:val="00D74B5B"/>
    <w:rsid w:val="00D75CC9"/>
    <w:rsid w:val="00D75D6A"/>
    <w:rsid w:val="00D76DA3"/>
    <w:rsid w:val="00D7729A"/>
    <w:rsid w:val="00D777C0"/>
    <w:rsid w:val="00D802F0"/>
    <w:rsid w:val="00D805D9"/>
    <w:rsid w:val="00D808AD"/>
    <w:rsid w:val="00D815A3"/>
    <w:rsid w:val="00D8311E"/>
    <w:rsid w:val="00D85B5B"/>
    <w:rsid w:val="00D8689B"/>
    <w:rsid w:val="00D87364"/>
    <w:rsid w:val="00D87DCF"/>
    <w:rsid w:val="00D900D2"/>
    <w:rsid w:val="00D90113"/>
    <w:rsid w:val="00D9257F"/>
    <w:rsid w:val="00D94ED4"/>
    <w:rsid w:val="00D95B6A"/>
    <w:rsid w:val="00D95DBD"/>
    <w:rsid w:val="00D97DF1"/>
    <w:rsid w:val="00DA2D41"/>
    <w:rsid w:val="00DA40F7"/>
    <w:rsid w:val="00DA43EC"/>
    <w:rsid w:val="00DA53AF"/>
    <w:rsid w:val="00DA69BF"/>
    <w:rsid w:val="00DA7024"/>
    <w:rsid w:val="00DA7FBB"/>
    <w:rsid w:val="00DB07A9"/>
    <w:rsid w:val="00DB099D"/>
    <w:rsid w:val="00DB1514"/>
    <w:rsid w:val="00DB3ECC"/>
    <w:rsid w:val="00DB436A"/>
    <w:rsid w:val="00DB5587"/>
    <w:rsid w:val="00DB5AA2"/>
    <w:rsid w:val="00DB631F"/>
    <w:rsid w:val="00DB78BC"/>
    <w:rsid w:val="00DC0C50"/>
    <w:rsid w:val="00DC24AB"/>
    <w:rsid w:val="00DC3156"/>
    <w:rsid w:val="00DC47F1"/>
    <w:rsid w:val="00DC6556"/>
    <w:rsid w:val="00DC65C8"/>
    <w:rsid w:val="00DC6B22"/>
    <w:rsid w:val="00DC79A0"/>
    <w:rsid w:val="00DC7DBB"/>
    <w:rsid w:val="00DD0660"/>
    <w:rsid w:val="00DD0F77"/>
    <w:rsid w:val="00DD27FE"/>
    <w:rsid w:val="00DD3D67"/>
    <w:rsid w:val="00DD4A3D"/>
    <w:rsid w:val="00DD5AF5"/>
    <w:rsid w:val="00DD7D41"/>
    <w:rsid w:val="00DE00C8"/>
    <w:rsid w:val="00DE0815"/>
    <w:rsid w:val="00DE144B"/>
    <w:rsid w:val="00DE224E"/>
    <w:rsid w:val="00DE305E"/>
    <w:rsid w:val="00DE403C"/>
    <w:rsid w:val="00DE4EA3"/>
    <w:rsid w:val="00DE540B"/>
    <w:rsid w:val="00DE61A1"/>
    <w:rsid w:val="00DE648B"/>
    <w:rsid w:val="00DF00E9"/>
    <w:rsid w:val="00DF062F"/>
    <w:rsid w:val="00DF5C12"/>
    <w:rsid w:val="00DF6846"/>
    <w:rsid w:val="00DF6A1D"/>
    <w:rsid w:val="00E040B5"/>
    <w:rsid w:val="00E05615"/>
    <w:rsid w:val="00E05D99"/>
    <w:rsid w:val="00E06347"/>
    <w:rsid w:val="00E06707"/>
    <w:rsid w:val="00E067E4"/>
    <w:rsid w:val="00E10B38"/>
    <w:rsid w:val="00E10CB9"/>
    <w:rsid w:val="00E11C7E"/>
    <w:rsid w:val="00E1248A"/>
    <w:rsid w:val="00E134AC"/>
    <w:rsid w:val="00E15D6E"/>
    <w:rsid w:val="00E16DAF"/>
    <w:rsid w:val="00E170F5"/>
    <w:rsid w:val="00E17F6C"/>
    <w:rsid w:val="00E20A15"/>
    <w:rsid w:val="00E226BA"/>
    <w:rsid w:val="00E22889"/>
    <w:rsid w:val="00E24254"/>
    <w:rsid w:val="00E25520"/>
    <w:rsid w:val="00E259BB"/>
    <w:rsid w:val="00E26CE5"/>
    <w:rsid w:val="00E271F3"/>
    <w:rsid w:val="00E2753F"/>
    <w:rsid w:val="00E300A3"/>
    <w:rsid w:val="00E31CFD"/>
    <w:rsid w:val="00E322EF"/>
    <w:rsid w:val="00E32829"/>
    <w:rsid w:val="00E341F7"/>
    <w:rsid w:val="00E34818"/>
    <w:rsid w:val="00E35B70"/>
    <w:rsid w:val="00E36622"/>
    <w:rsid w:val="00E368D2"/>
    <w:rsid w:val="00E36C52"/>
    <w:rsid w:val="00E41D11"/>
    <w:rsid w:val="00E439C3"/>
    <w:rsid w:val="00E43C63"/>
    <w:rsid w:val="00E455C7"/>
    <w:rsid w:val="00E47B0D"/>
    <w:rsid w:val="00E47C71"/>
    <w:rsid w:val="00E516DC"/>
    <w:rsid w:val="00E51C55"/>
    <w:rsid w:val="00E52199"/>
    <w:rsid w:val="00E521ED"/>
    <w:rsid w:val="00E52219"/>
    <w:rsid w:val="00E52376"/>
    <w:rsid w:val="00E528AD"/>
    <w:rsid w:val="00E530A1"/>
    <w:rsid w:val="00E53ABD"/>
    <w:rsid w:val="00E53EA0"/>
    <w:rsid w:val="00E54BDE"/>
    <w:rsid w:val="00E54D64"/>
    <w:rsid w:val="00E551A1"/>
    <w:rsid w:val="00E560D1"/>
    <w:rsid w:val="00E56F26"/>
    <w:rsid w:val="00E6207D"/>
    <w:rsid w:val="00E638D7"/>
    <w:rsid w:val="00E64C5C"/>
    <w:rsid w:val="00E66B54"/>
    <w:rsid w:val="00E66B6A"/>
    <w:rsid w:val="00E66DD9"/>
    <w:rsid w:val="00E671DD"/>
    <w:rsid w:val="00E67E4F"/>
    <w:rsid w:val="00E71393"/>
    <w:rsid w:val="00E7193A"/>
    <w:rsid w:val="00E7197B"/>
    <w:rsid w:val="00E71DE6"/>
    <w:rsid w:val="00E72A8B"/>
    <w:rsid w:val="00E730AA"/>
    <w:rsid w:val="00E734D7"/>
    <w:rsid w:val="00E74796"/>
    <w:rsid w:val="00E75570"/>
    <w:rsid w:val="00E76377"/>
    <w:rsid w:val="00E77A52"/>
    <w:rsid w:val="00E81977"/>
    <w:rsid w:val="00E81EE9"/>
    <w:rsid w:val="00E8212E"/>
    <w:rsid w:val="00E82267"/>
    <w:rsid w:val="00E826DE"/>
    <w:rsid w:val="00E82C06"/>
    <w:rsid w:val="00E8598C"/>
    <w:rsid w:val="00E8658C"/>
    <w:rsid w:val="00E86C78"/>
    <w:rsid w:val="00E86D16"/>
    <w:rsid w:val="00E87698"/>
    <w:rsid w:val="00E878C3"/>
    <w:rsid w:val="00E902A2"/>
    <w:rsid w:val="00E9062E"/>
    <w:rsid w:val="00E91433"/>
    <w:rsid w:val="00E93050"/>
    <w:rsid w:val="00E95FC4"/>
    <w:rsid w:val="00E961AE"/>
    <w:rsid w:val="00E97DB7"/>
    <w:rsid w:val="00EA1367"/>
    <w:rsid w:val="00EA2B81"/>
    <w:rsid w:val="00EA362E"/>
    <w:rsid w:val="00EA431C"/>
    <w:rsid w:val="00EA45BA"/>
    <w:rsid w:val="00EA7245"/>
    <w:rsid w:val="00EB0722"/>
    <w:rsid w:val="00EB13A2"/>
    <w:rsid w:val="00EB26B7"/>
    <w:rsid w:val="00EB2B41"/>
    <w:rsid w:val="00EB2BF1"/>
    <w:rsid w:val="00EB2E47"/>
    <w:rsid w:val="00EB3ECC"/>
    <w:rsid w:val="00EB4875"/>
    <w:rsid w:val="00EB6009"/>
    <w:rsid w:val="00EB6BFC"/>
    <w:rsid w:val="00EB6F77"/>
    <w:rsid w:val="00EC449A"/>
    <w:rsid w:val="00EC452B"/>
    <w:rsid w:val="00EC503D"/>
    <w:rsid w:val="00EC5D87"/>
    <w:rsid w:val="00EC6456"/>
    <w:rsid w:val="00ED0A96"/>
    <w:rsid w:val="00ED2358"/>
    <w:rsid w:val="00ED2B94"/>
    <w:rsid w:val="00ED3C06"/>
    <w:rsid w:val="00ED53FF"/>
    <w:rsid w:val="00ED73A8"/>
    <w:rsid w:val="00ED7E1F"/>
    <w:rsid w:val="00EE00D6"/>
    <w:rsid w:val="00EE0A22"/>
    <w:rsid w:val="00EE1997"/>
    <w:rsid w:val="00EE1E9A"/>
    <w:rsid w:val="00EE2EF7"/>
    <w:rsid w:val="00EE2FBB"/>
    <w:rsid w:val="00EE3C75"/>
    <w:rsid w:val="00EE50FB"/>
    <w:rsid w:val="00EE58B3"/>
    <w:rsid w:val="00EE7C1E"/>
    <w:rsid w:val="00EF0298"/>
    <w:rsid w:val="00EF0BF8"/>
    <w:rsid w:val="00EF0E82"/>
    <w:rsid w:val="00EF139D"/>
    <w:rsid w:val="00EF388A"/>
    <w:rsid w:val="00EF4478"/>
    <w:rsid w:val="00EF5973"/>
    <w:rsid w:val="00EF7770"/>
    <w:rsid w:val="00F019DB"/>
    <w:rsid w:val="00F02680"/>
    <w:rsid w:val="00F04A4E"/>
    <w:rsid w:val="00F05AAE"/>
    <w:rsid w:val="00F06112"/>
    <w:rsid w:val="00F06E53"/>
    <w:rsid w:val="00F071B3"/>
    <w:rsid w:val="00F1029B"/>
    <w:rsid w:val="00F10AEF"/>
    <w:rsid w:val="00F11DC1"/>
    <w:rsid w:val="00F12691"/>
    <w:rsid w:val="00F16C50"/>
    <w:rsid w:val="00F1750F"/>
    <w:rsid w:val="00F202C8"/>
    <w:rsid w:val="00F21664"/>
    <w:rsid w:val="00F23AA2"/>
    <w:rsid w:val="00F25A54"/>
    <w:rsid w:val="00F25CE9"/>
    <w:rsid w:val="00F271B0"/>
    <w:rsid w:val="00F277D4"/>
    <w:rsid w:val="00F27D4F"/>
    <w:rsid w:val="00F3141A"/>
    <w:rsid w:val="00F3162B"/>
    <w:rsid w:val="00F327A5"/>
    <w:rsid w:val="00F32BCC"/>
    <w:rsid w:val="00F335B3"/>
    <w:rsid w:val="00F33D83"/>
    <w:rsid w:val="00F366AB"/>
    <w:rsid w:val="00F4000A"/>
    <w:rsid w:val="00F40E27"/>
    <w:rsid w:val="00F42547"/>
    <w:rsid w:val="00F42D33"/>
    <w:rsid w:val="00F42D82"/>
    <w:rsid w:val="00F43F54"/>
    <w:rsid w:val="00F44AFA"/>
    <w:rsid w:val="00F471A8"/>
    <w:rsid w:val="00F471C4"/>
    <w:rsid w:val="00F50B64"/>
    <w:rsid w:val="00F50FEE"/>
    <w:rsid w:val="00F515E2"/>
    <w:rsid w:val="00F529BE"/>
    <w:rsid w:val="00F53C9C"/>
    <w:rsid w:val="00F55273"/>
    <w:rsid w:val="00F57936"/>
    <w:rsid w:val="00F57AC5"/>
    <w:rsid w:val="00F6104D"/>
    <w:rsid w:val="00F6169A"/>
    <w:rsid w:val="00F6193B"/>
    <w:rsid w:val="00F63170"/>
    <w:rsid w:val="00F6370B"/>
    <w:rsid w:val="00F64F0F"/>
    <w:rsid w:val="00F652C0"/>
    <w:rsid w:val="00F66379"/>
    <w:rsid w:val="00F664CC"/>
    <w:rsid w:val="00F67FF4"/>
    <w:rsid w:val="00F72B8B"/>
    <w:rsid w:val="00F738E8"/>
    <w:rsid w:val="00F74019"/>
    <w:rsid w:val="00F765D5"/>
    <w:rsid w:val="00F7725D"/>
    <w:rsid w:val="00F808DA"/>
    <w:rsid w:val="00F80EA9"/>
    <w:rsid w:val="00F81140"/>
    <w:rsid w:val="00F81A01"/>
    <w:rsid w:val="00F81F8F"/>
    <w:rsid w:val="00F825EA"/>
    <w:rsid w:val="00F82B86"/>
    <w:rsid w:val="00F835F7"/>
    <w:rsid w:val="00F836C3"/>
    <w:rsid w:val="00F83876"/>
    <w:rsid w:val="00F83DB0"/>
    <w:rsid w:val="00F846B1"/>
    <w:rsid w:val="00F8543D"/>
    <w:rsid w:val="00F85788"/>
    <w:rsid w:val="00F87890"/>
    <w:rsid w:val="00F9096E"/>
    <w:rsid w:val="00F90EE1"/>
    <w:rsid w:val="00F9131D"/>
    <w:rsid w:val="00F91DFB"/>
    <w:rsid w:val="00F92DA7"/>
    <w:rsid w:val="00F949DE"/>
    <w:rsid w:val="00F96FEA"/>
    <w:rsid w:val="00F975B4"/>
    <w:rsid w:val="00F97ACA"/>
    <w:rsid w:val="00F97E48"/>
    <w:rsid w:val="00FA1205"/>
    <w:rsid w:val="00FA229B"/>
    <w:rsid w:val="00FA2C49"/>
    <w:rsid w:val="00FA2D1A"/>
    <w:rsid w:val="00FA2F03"/>
    <w:rsid w:val="00FA3080"/>
    <w:rsid w:val="00FA3082"/>
    <w:rsid w:val="00FA5C8D"/>
    <w:rsid w:val="00FA710F"/>
    <w:rsid w:val="00FA7302"/>
    <w:rsid w:val="00FA76ED"/>
    <w:rsid w:val="00FA77FD"/>
    <w:rsid w:val="00FB116B"/>
    <w:rsid w:val="00FB2621"/>
    <w:rsid w:val="00FB3B9F"/>
    <w:rsid w:val="00FB44A5"/>
    <w:rsid w:val="00FB4AFE"/>
    <w:rsid w:val="00FB5DE5"/>
    <w:rsid w:val="00FB75FE"/>
    <w:rsid w:val="00FB79FA"/>
    <w:rsid w:val="00FC0932"/>
    <w:rsid w:val="00FC20B0"/>
    <w:rsid w:val="00FC2312"/>
    <w:rsid w:val="00FC2FB6"/>
    <w:rsid w:val="00FC32C1"/>
    <w:rsid w:val="00FC4024"/>
    <w:rsid w:val="00FC4D72"/>
    <w:rsid w:val="00FC5DD3"/>
    <w:rsid w:val="00FC65E5"/>
    <w:rsid w:val="00FC6A1E"/>
    <w:rsid w:val="00FC6C0B"/>
    <w:rsid w:val="00FC6CEE"/>
    <w:rsid w:val="00FD0CDF"/>
    <w:rsid w:val="00FD288C"/>
    <w:rsid w:val="00FD6CC2"/>
    <w:rsid w:val="00FD72D5"/>
    <w:rsid w:val="00FD79CE"/>
    <w:rsid w:val="00FD7CF8"/>
    <w:rsid w:val="00FE0BCF"/>
    <w:rsid w:val="00FE2ADB"/>
    <w:rsid w:val="00FE78CD"/>
    <w:rsid w:val="00FF2B6E"/>
    <w:rsid w:val="00FF2B88"/>
    <w:rsid w:val="00FF4832"/>
    <w:rsid w:val="00FF4A4D"/>
    <w:rsid w:val="00FF69EC"/>
    <w:rsid w:val="00FF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EBB82"/>
  <w15:chartTrackingRefBased/>
  <w15:docId w15:val="{366708D9-B429-486D-A2A7-1FAFA05B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5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40E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530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3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54E8"/>
    <w:rPr>
      <w:color w:val="0563C1" w:themeColor="hyperlink"/>
      <w:u w:val="single"/>
    </w:rPr>
  </w:style>
  <w:style w:type="character" w:customStyle="1" w:styleId="UnresolvedMention">
    <w:name w:val="Unresolved Mention"/>
    <w:basedOn w:val="DefaultParagraphFont"/>
    <w:uiPriority w:val="99"/>
    <w:semiHidden/>
    <w:unhideWhenUsed/>
    <w:rsid w:val="006E54E8"/>
    <w:rPr>
      <w:color w:val="605E5C"/>
      <w:shd w:val="clear" w:color="auto" w:fill="E1DFDD"/>
    </w:rPr>
  </w:style>
  <w:style w:type="table" w:styleId="TableGrid">
    <w:name w:val="Table Grid"/>
    <w:basedOn w:val="TableNormal"/>
    <w:uiPriority w:val="39"/>
    <w:rsid w:val="00CF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2C1"/>
    <w:pPr>
      <w:ind w:left="720"/>
      <w:contextualSpacing/>
    </w:pPr>
  </w:style>
  <w:style w:type="paragraph" w:styleId="Footer">
    <w:name w:val="footer"/>
    <w:basedOn w:val="Normal"/>
    <w:link w:val="FooterChar"/>
    <w:uiPriority w:val="99"/>
    <w:unhideWhenUsed/>
    <w:rsid w:val="00D23A12"/>
    <w:pPr>
      <w:tabs>
        <w:tab w:val="center" w:pos="4680"/>
        <w:tab w:val="right" w:pos="9360"/>
      </w:tabs>
      <w:spacing w:after="0" w:line="240" w:lineRule="auto"/>
    </w:pPr>
    <w:rPr>
      <w:rFonts w:ascii="Calibri" w:eastAsia="Calibri" w:hAnsi="Calibri" w:cs="Times New Roman"/>
      <w:sz w:val="24"/>
      <w:szCs w:val="24"/>
      <w:lang w:bidi="en-US"/>
    </w:rPr>
  </w:style>
  <w:style w:type="character" w:customStyle="1" w:styleId="FooterChar">
    <w:name w:val="Footer Char"/>
    <w:basedOn w:val="DefaultParagraphFont"/>
    <w:link w:val="Footer"/>
    <w:uiPriority w:val="99"/>
    <w:rsid w:val="00D23A12"/>
    <w:rPr>
      <w:rFonts w:ascii="Calibri" w:eastAsia="Calibri" w:hAnsi="Calibri" w:cs="Times New Roman"/>
      <w:sz w:val="24"/>
      <w:szCs w:val="24"/>
      <w:lang w:bidi="en-US"/>
    </w:rPr>
  </w:style>
  <w:style w:type="paragraph" w:customStyle="1" w:styleId="paywall-full-summary">
    <w:name w:val="paywall-full-summary"/>
    <w:basedOn w:val="Normal"/>
    <w:rsid w:val="00112C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6CE5"/>
    <w:rPr>
      <w:sz w:val="16"/>
      <w:szCs w:val="16"/>
    </w:rPr>
  </w:style>
  <w:style w:type="paragraph" w:styleId="CommentText">
    <w:name w:val="annotation text"/>
    <w:basedOn w:val="Normal"/>
    <w:link w:val="CommentTextChar"/>
    <w:uiPriority w:val="99"/>
    <w:semiHidden/>
    <w:unhideWhenUsed/>
    <w:rsid w:val="00E26CE5"/>
    <w:pPr>
      <w:spacing w:line="240" w:lineRule="auto"/>
    </w:pPr>
    <w:rPr>
      <w:sz w:val="20"/>
      <w:szCs w:val="20"/>
    </w:rPr>
  </w:style>
  <w:style w:type="character" w:customStyle="1" w:styleId="CommentTextChar">
    <w:name w:val="Comment Text Char"/>
    <w:basedOn w:val="DefaultParagraphFont"/>
    <w:link w:val="CommentText"/>
    <w:uiPriority w:val="99"/>
    <w:semiHidden/>
    <w:rsid w:val="00E26CE5"/>
    <w:rPr>
      <w:sz w:val="20"/>
      <w:szCs w:val="20"/>
    </w:rPr>
  </w:style>
  <w:style w:type="paragraph" w:styleId="CommentSubject">
    <w:name w:val="annotation subject"/>
    <w:basedOn w:val="CommentText"/>
    <w:next w:val="CommentText"/>
    <w:link w:val="CommentSubjectChar"/>
    <w:uiPriority w:val="99"/>
    <w:semiHidden/>
    <w:unhideWhenUsed/>
    <w:rsid w:val="00E26CE5"/>
    <w:rPr>
      <w:b/>
      <w:bCs/>
    </w:rPr>
  </w:style>
  <w:style w:type="character" w:customStyle="1" w:styleId="CommentSubjectChar">
    <w:name w:val="Comment Subject Char"/>
    <w:basedOn w:val="CommentTextChar"/>
    <w:link w:val="CommentSubject"/>
    <w:uiPriority w:val="99"/>
    <w:semiHidden/>
    <w:rsid w:val="00E26CE5"/>
    <w:rPr>
      <w:b/>
      <w:bCs/>
      <w:sz w:val="20"/>
      <w:szCs w:val="20"/>
    </w:rPr>
  </w:style>
  <w:style w:type="character" w:styleId="FollowedHyperlink">
    <w:name w:val="FollowedHyperlink"/>
    <w:basedOn w:val="DefaultParagraphFont"/>
    <w:uiPriority w:val="99"/>
    <w:semiHidden/>
    <w:unhideWhenUsed/>
    <w:rsid w:val="009D5108"/>
    <w:rPr>
      <w:color w:val="954F72" w:themeColor="followedHyperlink"/>
      <w:u w:val="single"/>
    </w:rPr>
  </w:style>
  <w:style w:type="paragraph" w:styleId="NoSpacing">
    <w:name w:val="No Spacing"/>
    <w:uiPriority w:val="99"/>
    <w:qFormat/>
    <w:rsid w:val="0070105B"/>
    <w:pPr>
      <w:spacing w:after="0" w:line="240" w:lineRule="auto"/>
    </w:pPr>
    <w:rPr>
      <w:rFonts w:ascii="Calibri" w:eastAsia="Calibri" w:hAnsi="Calibri" w:cs="Times New Roman"/>
    </w:rPr>
  </w:style>
  <w:style w:type="paragraph" w:customStyle="1" w:styleId="p1">
    <w:name w:val="p1"/>
    <w:basedOn w:val="Normal"/>
    <w:rsid w:val="00D238B3"/>
    <w:pPr>
      <w:spacing w:before="100" w:beforeAutospacing="1" w:after="100" w:afterAutospacing="1" w:line="240" w:lineRule="auto"/>
    </w:pPr>
    <w:rPr>
      <w:rFonts w:ascii="Calibri" w:hAnsi="Calibri" w:cs="Calibri"/>
    </w:rPr>
  </w:style>
  <w:style w:type="character" w:customStyle="1" w:styleId="s1">
    <w:name w:val="s1"/>
    <w:basedOn w:val="DefaultParagraphFont"/>
    <w:rsid w:val="00D238B3"/>
  </w:style>
  <w:style w:type="character" w:styleId="Strong">
    <w:name w:val="Strong"/>
    <w:basedOn w:val="DefaultParagraphFont"/>
    <w:uiPriority w:val="22"/>
    <w:qFormat/>
    <w:rsid w:val="00881AC0"/>
    <w:rPr>
      <w:b/>
      <w:bCs/>
    </w:rPr>
  </w:style>
  <w:style w:type="character" w:customStyle="1" w:styleId="quote-pick">
    <w:name w:val="quote-pick"/>
    <w:basedOn w:val="DefaultParagraphFont"/>
    <w:rsid w:val="00FC0932"/>
  </w:style>
  <w:style w:type="paragraph" w:customStyle="1" w:styleId="texttext1fzle">
    <w:name w:val="text__text__1fzle"/>
    <w:basedOn w:val="Normal"/>
    <w:rsid w:val="00AB5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40E27"/>
    <w:rPr>
      <w:rFonts w:ascii="Times New Roman" w:eastAsia="Times New Roman" w:hAnsi="Times New Roman" w:cs="Times New Roman"/>
      <w:b/>
      <w:bCs/>
      <w:sz w:val="36"/>
      <w:szCs w:val="36"/>
    </w:rPr>
  </w:style>
  <w:style w:type="character" w:customStyle="1" w:styleId="source-present">
    <w:name w:val="source-present"/>
    <w:basedOn w:val="DefaultParagraphFont"/>
    <w:rsid w:val="00F40E27"/>
  </w:style>
  <w:style w:type="character" w:customStyle="1" w:styleId="Heading1Char">
    <w:name w:val="Heading 1 Char"/>
    <w:basedOn w:val="DefaultParagraphFont"/>
    <w:link w:val="Heading1"/>
    <w:uiPriority w:val="9"/>
    <w:rsid w:val="00A357F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E530A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F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836">
      <w:bodyDiv w:val="1"/>
      <w:marLeft w:val="0"/>
      <w:marRight w:val="0"/>
      <w:marTop w:val="0"/>
      <w:marBottom w:val="0"/>
      <w:divBdr>
        <w:top w:val="none" w:sz="0" w:space="0" w:color="auto"/>
        <w:left w:val="none" w:sz="0" w:space="0" w:color="auto"/>
        <w:bottom w:val="none" w:sz="0" w:space="0" w:color="auto"/>
        <w:right w:val="none" w:sz="0" w:space="0" w:color="auto"/>
      </w:divBdr>
    </w:div>
    <w:div w:id="91635263">
      <w:bodyDiv w:val="1"/>
      <w:marLeft w:val="0"/>
      <w:marRight w:val="0"/>
      <w:marTop w:val="0"/>
      <w:marBottom w:val="0"/>
      <w:divBdr>
        <w:top w:val="none" w:sz="0" w:space="0" w:color="auto"/>
        <w:left w:val="none" w:sz="0" w:space="0" w:color="auto"/>
        <w:bottom w:val="none" w:sz="0" w:space="0" w:color="auto"/>
        <w:right w:val="none" w:sz="0" w:space="0" w:color="auto"/>
      </w:divBdr>
    </w:div>
    <w:div w:id="106318823">
      <w:bodyDiv w:val="1"/>
      <w:marLeft w:val="0"/>
      <w:marRight w:val="0"/>
      <w:marTop w:val="0"/>
      <w:marBottom w:val="0"/>
      <w:divBdr>
        <w:top w:val="none" w:sz="0" w:space="0" w:color="auto"/>
        <w:left w:val="none" w:sz="0" w:space="0" w:color="auto"/>
        <w:bottom w:val="none" w:sz="0" w:space="0" w:color="auto"/>
        <w:right w:val="none" w:sz="0" w:space="0" w:color="auto"/>
      </w:divBdr>
    </w:div>
    <w:div w:id="146679000">
      <w:bodyDiv w:val="1"/>
      <w:marLeft w:val="0"/>
      <w:marRight w:val="0"/>
      <w:marTop w:val="0"/>
      <w:marBottom w:val="0"/>
      <w:divBdr>
        <w:top w:val="none" w:sz="0" w:space="0" w:color="auto"/>
        <w:left w:val="none" w:sz="0" w:space="0" w:color="auto"/>
        <w:bottom w:val="none" w:sz="0" w:space="0" w:color="auto"/>
        <w:right w:val="none" w:sz="0" w:space="0" w:color="auto"/>
      </w:divBdr>
      <w:divsChild>
        <w:div w:id="724372038">
          <w:marLeft w:val="0"/>
          <w:marRight w:val="0"/>
          <w:marTop w:val="0"/>
          <w:marBottom w:val="0"/>
          <w:divBdr>
            <w:top w:val="none" w:sz="0" w:space="0" w:color="auto"/>
            <w:left w:val="none" w:sz="0" w:space="0" w:color="auto"/>
            <w:bottom w:val="none" w:sz="0" w:space="0" w:color="auto"/>
            <w:right w:val="none" w:sz="0" w:space="0" w:color="auto"/>
          </w:divBdr>
        </w:div>
        <w:div w:id="543757364">
          <w:marLeft w:val="0"/>
          <w:marRight w:val="0"/>
          <w:marTop w:val="0"/>
          <w:marBottom w:val="0"/>
          <w:divBdr>
            <w:top w:val="none" w:sz="0" w:space="0" w:color="auto"/>
            <w:left w:val="none" w:sz="0" w:space="0" w:color="auto"/>
            <w:bottom w:val="none" w:sz="0" w:space="0" w:color="auto"/>
            <w:right w:val="none" w:sz="0" w:space="0" w:color="auto"/>
          </w:divBdr>
        </w:div>
        <w:div w:id="607466410">
          <w:marLeft w:val="0"/>
          <w:marRight w:val="0"/>
          <w:marTop w:val="0"/>
          <w:marBottom w:val="0"/>
          <w:divBdr>
            <w:top w:val="none" w:sz="0" w:space="0" w:color="auto"/>
            <w:left w:val="none" w:sz="0" w:space="0" w:color="auto"/>
            <w:bottom w:val="none" w:sz="0" w:space="0" w:color="auto"/>
            <w:right w:val="none" w:sz="0" w:space="0" w:color="auto"/>
          </w:divBdr>
        </w:div>
      </w:divsChild>
    </w:div>
    <w:div w:id="202059416">
      <w:bodyDiv w:val="1"/>
      <w:marLeft w:val="0"/>
      <w:marRight w:val="0"/>
      <w:marTop w:val="0"/>
      <w:marBottom w:val="0"/>
      <w:divBdr>
        <w:top w:val="none" w:sz="0" w:space="0" w:color="auto"/>
        <w:left w:val="none" w:sz="0" w:space="0" w:color="auto"/>
        <w:bottom w:val="none" w:sz="0" w:space="0" w:color="auto"/>
        <w:right w:val="none" w:sz="0" w:space="0" w:color="auto"/>
      </w:divBdr>
    </w:div>
    <w:div w:id="246619386">
      <w:bodyDiv w:val="1"/>
      <w:marLeft w:val="0"/>
      <w:marRight w:val="0"/>
      <w:marTop w:val="0"/>
      <w:marBottom w:val="0"/>
      <w:divBdr>
        <w:top w:val="none" w:sz="0" w:space="0" w:color="auto"/>
        <w:left w:val="none" w:sz="0" w:space="0" w:color="auto"/>
        <w:bottom w:val="none" w:sz="0" w:space="0" w:color="auto"/>
        <w:right w:val="none" w:sz="0" w:space="0" w:color="auto"/>
      </w:divBdr>
    </w:div>
    <w:div w:id="264731446">
      <w:bodyDiv w:val="1"/>
      <w:marLeft w:val="0"/>
      <w:marRight w:val="0"/>
      <w:marTop w:val="0"/>
      <w:marBottom w:val="0"/>
      <w:divBdr>
        <w:top w:val="none" w:sz="0" w:space="0" w:color="auto"/>
        <w:left w:val="none" w:sz="0" w:space="0" w:color="auto"/>
        <w:bottom w:val="none" w:sz="0" w:space="0" w:color="auto"/>
        <w:right w:val="none" w:sz="0" w:space="0" w:color="auto"/>
      </w:divBdr>
    </w:div>
    <w:div w:id="277564116">
      <w:bodyDiv w:val="1"/>
      <w:marLeft w:val="0"/>
      <w:marRight w:val="0"/>
      <w:marTop w:val="0"/>
      <w:marBottom w:val="0"/>
      <w:divBdr>
        <w:top w:val="none" w:sz="0" w:space="0" w:color="auto"/>
        <w:left w:val="none" w:sz="0" w:space="0" w:color="auto"/>
        <w:bottom w:val="none" w:sz="0" w:space="0" w:color="auto"/>
        <w:right w:val="none" w:sz="0" w:space="0" w:color="auto"/>
      </w:divBdr>
    </w:div>
    <w:div w:id="278873799">
      <w:bodyDiv w:val="1"/>
      <w:marLeft w:val="0"/>
      <w:marRight w:val="0"/>
      <w:marTop w:val="0"/>
      <w:marBottom w:val="0"/>
      <w:divBdr>
        <w:top w:val="none" w:sz="0" w:space="0" w:color="auto"/>
        <w:left w:val="none" w:sz="0" w:space="0" w:color="auto"/>
        <w:bottom w:val="none" w:sz="0" w:space="0" w:color="auto"/>
        <w:right w:val="none" w:sz="0" w:space="0" w:color="auto"/>
      </w:divBdr>
      <w:divsChild>
        <w:div w:id="331422022">
          <w:marLeft w:val="0"/>
          <w:marRight w:val="0"/>
          <w:marTop w:val="0"/>
          <w:marBottom w:val="0"/>
          <w:divBdr>
            <w:top w:val="none" w:sz="0" w:space="0" w:color="auto"/>
            <w:left w:val="none" w:sz="0" w:space="0" w:color="auto"/>
            <w:bottom w:val="none" w:sz="0" w:space="0" w:color="auto"/>
            <w:right w:val="none" w:sz="0" w:space="0" w:color="auto"/>
          </w:divBdr>
          <w:divsChild>
            <w:div w:id="781345763">
              <w:marLeft w:val="0"/>
              <w:marRight w:val="0"/>
              <w:marTop w:val="0"/>
              <w:marBottom w:val="0"/>
              <w:divBdr>
                <w:top w:val="none" w:sz="0" w:space="0" w:color="auto"/>
                <w:left w:val="none" w:sz="0" w:space="0" w:color="auto"/>
                <w:bottom w:val="none" w:sz="0" w:space="0" w:color="auto"/>
                <w:right w:val="none" w:sz="0" w:space="0" w:color="auto"/>
              </w:divBdr>
              <w:divsChild>
                <w:div w:id="19010161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36230507">
      <w:bodyDiv w:val="1"/>
      <w:marLeft w:val="0"/>
      <w:marRight w:val="0"/>
      <w:marTop w:val="0"/>
      <w:marBottom w:val="0"/>
      <w:divBdr>
        <w:top w:val="none" w:sz="0" w:space="0" w:color="auto"/>
        <w:left w:val="none" w:sz="0" w:space="0" w:color="auto"/>
        <w:bottom w:val="none" w:sz="0" w:space="0" w:color="auto"/>
        <w:right w:val="none" w:sz="0" w:space="0" w:color="auto"/>
      </w:divBdr>
    </w:div>
    <w:div w:id="429278555">
      <w:bodyDiv w:val="1"/>
      <w:marLeft w:val="0"/>
      <w:marRight w:val="0"/>
      <w:marTop w:val="0"/>
      <w:marBottom w:val="0"/>
      <w:divBdr>
        <w:top w:val="none" w:sz="0" w:space="0" w:color="auto"/>
        <w:left w:val="none" w:sz="0" w:space="0" w:color="auto"/>
        <w:bottom w:val="none" w:sz="0" w:space="0" w:color="auto"/>
        <w:right w:val="none" w:sz="0" w:space="0" w:color="auto"/>
      </w:divBdr>
    </w:div>
    <w:div w:id="539628949">
      <w:bodyDiv w:val="1"/>
      <w:marLeft w:val="0"/>
      <w:marRight w:val="0"/>
      <w:marTop w:val="0"/>
      <w:marBottom w:val="0"/>
      <w:divBdr>
        <w:top w:val="none" w:sz="0" w:space="0" w:color="auto"/>
        <w:left w:val="none" w:sz="0" w:space="0" w:color="auto"/>
        <w:bottom w:val="none" w:sz="0" w:space="0" w:color="auto"/>
        <w:right w:val="none" w:sz="0" w:space="0" w:color="auto"/>
      </w:divBdr>
      <w:divsChild>
        <w:div w:id="681785072">
          <w:marLeft w:val="446"/>
          <w:marRight w:val="0"/>
          <w:marTop w:val="0"/>
          <w:marBottom w:val="0"/>
          <w:divBdr>
            <w:top w:val="none" w:sz="0" w:space="0" w:color="auto"/>
            <w:left w:val="none" w:sz="0" w:space="0" w:color="auto"/>
            <w:bottom w:val="none" w:sz="0" w:space="0" w:color="auto"/>
            <w:right w:val="none" w:sz="0" w:space="0" w:color="auto"/>
          </w:divBdr>
        </w:div>
        <w:div w:id="1471439536">
          <w:marLeft w:val="446"/>
          <w:marRight w:val="0"/>
          <w:marTop w:val="0"/>
          <w:marBottom w:val="0"/>
          <w:divBdr>
            <w:top w:val="none" w:sz="0" w:space="0" w:color="auto"/>
            <w:left w:val="none" w:sz="0" w:space="0" w:color="auto"/>
            <w:bottom w:val="none" w:sz="0" w:space="0" w:color="auto"/>
            <w:right w:val="none" w:sz="0" w:space="0" w:color="auto"/>
          </w:divBdr>
        </w:div>
        <w:div w:id="566574063">
          <w:marLeft w:val="446"/>
          <w:marRight w:val="0"/>
          <w:marTop w:val="0"/>
          <w:marBottom w:val="0"/>
          <w:divBdr>
            <w:top w:val="none" w:sz="0" w:space="0" w:color="auto"/>
            <w:left w:val="none" w:sz="0" w:space="0" w:color="auto"/>
            <w:bottom w:val="none" w:sz="0" w:space="0" w:color="auto"/>
            <w:right w:val="none" w:sz="0" w:space="0" w:color="auto"/>
          </w:divBdr>
        </w:div>
        <w:div w:id="51584650">
          <w:marLeft w:val="446"/>
          <w:marRight w:val="0"/>
          <w:marTop w:val="0"/>
          <w:marBottom w:val="0"/>
          <w:divBdr>
            <w:top w:val="none" w:sz="0" w:space="0" w:color="auto"/>
            <w:left w:val="none" w:sz="0" w:space="0" w:color="auto"/>
            <w:bottom w:val="none" w:sz="0" w:space="0" w:color="auto"/>
            <w:right w:val="none" w:sz="0" w:space="0" w:color="auto"/>
          </w:divBdr>
        </w:div>
      </w:divsChild>
    </w:div>
    <w:div w:id="577519856">
      <w:bodyDiv w:val="1"/>
      <w:marLeft w:val="0"/>
      <w:marRight w:val="0"/>
      <w:marTop w:val="0"/>
      <w:marBottom w:val="0"/>
      <w:divBdr>
        <w:top w:val="none" w:sz="0" w:space="0" w:color="auto"/>
        <w:left w:val="none" w:sz="0" w:space="0" w:color="auto"/>
        <w:bottom w:val="none" w:sz="0" w:space="0" w:color="auto"/>
        <w:right w:val="none" w:sz="0" w:space="0" w:color="auto"/>
      </w:divBdr>
    </w:div>
    <w:div w:id="588972963">
      <w:bodyDiv w:val="1"/>
      <w:marLeft w:val="0"/>
      <w:marRight w:val="0"/>
      <w:marTop w:val="0"/>
      <w:marBottom w:val="0"/>
      <w:divBdr>
        <w:top w:val="none" w:sz="0" w:space="0" w:color="auto"/>
        <w:left w:val="none" w:sz="0" w:space="0" w:color="auto"/>
        <w:bottom w:val="none" w:sz="0" w:space="0" w:color="auto"/>
        <w:right w:val="none" w:sz="0" w:space="0" w:color="auto"/>
      </w:divBdr>
      <w:divsChild>
        <w:div w:id="1105077042">
          <w:marLeft w:val="274"/>
          <w:marRight w:val="0"/>
          <w:marTop w:val="0"/>
          <w:marBottom w:val="0"/>
          <w:divBdr>
            <w:top w:val="none" w:sz="0" w:space="0" w:color="auto"/>
            <w:left w:val="none" w:sz="0" w:space="0" w:color="auto"/>
            <w:bottom w:val="none" w:sz="0" w:space="0" w:color="auto"/>
            <w:right w:val="none" w:sz="0" w:space="0" w:color="auto"/>
          </w:divBdr>
        </w:div>
        <w:div w:id="514617181">
          <w:marLeft w:val="274"/>
          <w:marRight w:val="0"/>
          <w:marTop w:val="0"/>
          <w:marBottom w:val="0"/>
          <w:divBdr>
            <w:top w:val="none" w:sz="0" w:space="0" w:color="auto"/>
            <w:left w:val="none" w:sz="0" w:space="0" w:color="auto"/>
            <w:bottom w:val="none" w:sz="0" w:space="0" w:color="auto"/>
            <w:right w:val="none" w:sz="0" w:space="0" w:color="auto"/>
          </w:divBdr>
        </w:div>
        <w:div w:id="1058430417">
          <w:marLeft w:val="274"/>
          <w:marRight w:val="0"/>
          <w:marTop w:val="0"/>
          <w:marBottom w:val="0"/>
          <w:divBdr>
            <w:top w:val="none" w:sz="0" w:space="0" w:color="auto"/>
            <w:left w:val="none" w:sz="0" w:space="0" w:color="auto"/>
            <w:bottom w:val="none" w:sz="0" w:space="0" w:color="auto"/>
            <w:right w:val="none" w:sz="0" w:space="0" w:color="auto"/>
          </w:divBdr>
        </w:div>
        <w:div w:id="707991247">
          <w:marLeft w:val="274"/>
          <w:marRight w:val="0"/>
          <w:marTop w:val="0"/>
          <w:marBottom w:val="0"/>
          <w:divBdr>
            <w:top w:val="none" w:sz="0" w:space="0" w:color="auto"/>
            <w:left w:val="none" w:sz="0" w:space="0" w:color="auto"/>
            <w:bottom w:val="none" w:sz="0" w:space="0" w:color="auto"/>
            <w:right w:val="none" w:sz="0" w:space="0" w:color="auto"/>
          </w:divBdr>
        </w:div>
      </w:divsChild>
    </w:div>
    <w:div w:id="595674942">
      <w:bodyDiv w:val="1"/>
      <w:marLeft w:val="0"/>
      <w:marRight w:val="0"/>
      <w:marTop w:val="0"/>
      <w:marBottom w:val="0"/>
      <w:divBdr>
        <w:top w:val="none" w:sz="0" w:space="0" w:color="auto"/>
        <w:left w:val="none" w:sz="0" w:space="0" w:color="auto"/>
        <w:bottom w:val="none" w:sz="0" w:space="0" w:color="auto"/>
        <w:right w:val="none" w:sz="0" w:space="0" w:color="auto"/>
      </w:divBdr>
      <w:divsChild>
        <w:div w:id="1170678056">
          <w:marLeft w:val="0"/>
          <w:marRight w:val="0"/>
          <w:marTop w:val="0"/>
          <w:marBottom w:val="0"/>
          <w:divBdr>
            <w:top w:val="none" w:sz="0" w:space="0" w:color="auto"/>
            <w:left w:val="none" w:sz="0" w:space="0" w:color="auto"/>
            <w:bottom w:val="none" w:sz="0" w:space="0" w:color="auto"/>
            <w:right w:val="none" w:sz="0" w:space="0" w:color="auto"/>
          </w:divBdr>
          <w:divsChild>
            <w:div w:id="1246644461">
              <w:marLeft w:val="0"/>
              <w:marRight w:val="0"/>
              <w:marTop w:val="0"/>
              <w:marBottom w:val="0"/>
              <w:divBdr>
                <w:top w:val="none" w:sz="0" w:space="0" w:color="auto"/>
                <w:left w:val="none" w:sz="0" w:space="0" w:color="auto"/>
                <w:bottom w:val="none" w:sz="0" w:space="0" w:color="auto"/>
                <w:right w:val="none" w:sz="0" w:space="0" w:color="auto"/>
              </w:divBdr>
              <w:divsChild>
                <w:div w:id="71436623">
                  <w:marLeft w:val="0"/>
                  <w:marRight w:val="0"/>
                  <w:marTop w:val="0"/>
                  <w:marBottom w:val="0"/>
                  <w:divBdr>
                    <w:top w:val="none" w:sz="0" w:space="0" w:color="auto"/>
                    <w:left w:val="none" w:sz="0" w:space="0" w:color="auto"/>
                    <w:bottom w:val="none" w:sz="0" w:space="0" w:color="auto"/>
                    <w:right w:val="none" w:sz="0" w:space="0" w:color="auto"/>
                  </w:divBdr>
                  <w:divsChild>
                    <w:div w:id="79720299">
                      <w:marLeft w:val="0"/>
                      <w:marRight w:val="0"/>
                      <w:marTop w:val="0"/>
                      <w:marBottom w:val="0"/>
                      <w:divBdr>
                        <w:top w:val="none" w:sz="0" w:space="0" w:color="auto"/>
                        <w:left w:val="none" w:sz="0" w:space="0" w:color="auto"/>
                        <w:bottom w:val="none" w:sz="0" w:space="0" w:color="auto"/>
                        <w:right w:val="none" w:sz="0" w:space="0" w:color="auto"/>
                      </w:divBdr>
                      <w:divsChild>
                        <w:div w:id="34164628">
                          <w:marLeft w:val="0"/>
                          <w:marRight w:val="0"/>
                          <w:marTop w:val="0"/>
                          <w:marBottom w:val="0"/>
                          <w:divBdr>
                            <w:top w:val="none" w:sz="0" w:space="0" w:color="auto"/>
                            <w:left w:val="none" w:sz="0" w:space="0" w:color="auto"/>
                            <w:bottom w:val="none" w:sz="0" w:space="0" w:color="auto"/>
                            <w:right w:val="none" w:sz="0" w:space="0" w:color="auto"/>
                          </w:divBdr>
                          <w:divsChild>
                            <w:div w:id="769592331">
                              <w:marLeft w:val="0"/>
                              <w:marRight w:val="0"/>
                              <w:marTop w:val="0"/>
                              <w:marBottom w:val="0"/>
                              <w:divBdr>
                                <w:top w:val="none" w:sz="0" w:space="0" w:color="auto"/>
                                <w:left w:val="none" w:sz="0" w:space="0" w:color="auto"/>
                                <w:bottom w:val="none" w:sz="0" w:space="0" w:color="auto"/>
                                <w:right w:val="none" w:sz="0" w:space="0" w:color="auto"/>
                              </w:divBdr>
                            </w:div>
                          </w:divsChild>
                        </w:div>
                        <w:div w:id="1646621814">
                          <w:marLeft w:val="0"/>
                          <w:marRight w:val="0"/>
                          <w:marTop w:val="0"/>
                          <w:marBottom w:val="0"/>
                          <w:divBdr>
                            <w:top w:val="none" w:sz="0" w:space="0" w:color="auto"/>
                            <w:left w:val="none" w:sz="0" w:space="0" w:color="auto"/>
                            <w:bottom w:val="none" w:sz="0" w:space="0" w:color="auto"/>
                            <w:right w:val="none" w:sz="0" w:space="0" w:color="auto"/>
                          </w:divBdr>
                          <w:divsChild>
                            <w:div w:id="1706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6083">
                  <w:marLeft w:val="0"/>
                  <w:marRight w:val="0"/>
                  <w:marTop w:val="360"/>
                  <w:marBottom w:val="0"/>
                  <w:divBdr>
                    <w:top w:val="none" w:sz="0" w:space="0" w:color="auto"/>
                    <w:left w:val="none" w:sz="0" w:space="0" w:color="auto"/>
                    <w:bottom w:val="none" w:sz="0" w:space="0" w:color="auto"/>
                    <w:right w:val="none" w:sz="0" w:space="0" w:color="auto"/>
                  </w:divBdr>
                  <w:divsChild>
                    <w:div w:id="1610889800">
                      <w:marLeft w:val="0"/>
                      <w:marRight w:val="0"/>
                      <w:marTop w:val="0"/>
                      <w:marBottom w:val="600"/>
                      <w:divBdr>
                        <w:top w:val="none" w:sz="0" w:space="0" w:color="auto"/>
                        <w:left w:val="none" w:sz="0" w:space="0" w:color="auto"/>
                        <w:bottom w:val="none" w:sz="0" w:space="0" w:color="auto"/>
                        <w:right w:val="none" w:sz="0" w:space="0" w:color="auto"/>
                      </w:divBdr>
                      <w:divsChild>
                        <w:div w:id="3959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666">
                  <w:marLeft w:val="0"/>
                  <w:marRight w:val="0"/>
                  <w:marTop w:val="0"/>
                  <w:marBottom w:val="480"/>
                  <w:divBdr>
                    <w:top w:val="none" w:sz="0" w:space="0" w:color="auto"/>
                    <w:left w:val="none" w:sz="0" w:space="0" w:color="auto"/>
                    <w:bottom w:val="none" w:sz="0" w:space="0" w:color="auto"/>
                    <w:right w:val="none" w:sz="0" w:space="0" w:color="auto"/>
                  </w:divBdr>
                  <w:divsChild>
                    <w:div w:id="283733498">
                      <w:marLeft w:val="0"/>
                      <w:marRight w:val="0"/>
                      <w:marTop w:val="0"/>
                      <w:marBottom w:val="240"/>
                      <w:divBdr>
                        <w:top w:val="none" w:sz="0" w:space="0" w:color="auto"/>
                        <w:left w:val="none" w:sz="0" w:space="0" w:color="auto"/>
                        <w:bottom w:val="none" w:sz="0" w:space="0" w:color="auto"/>
                        <w:right w:val="none" w:sz="0" w:space="0" w:color="auto"/>
                      </w:divBdr>
                      <w:divsChild>
                        <w:div w:id="1048145151">
                          <w:marLeft w:val="0"/>
                          <w:marRight w:val="240"/>
                          <w:marTop w:val="0"/>
                          <w:marBottom w:val="0"/>
                          <w:divBdr>
                            <w:top w:val="none" w:sz="0" w:space="0" w:color="auto"/>
                            <w:left w:val="none" w:sz="0" w:space="0" w:color="auto"/>
                            <w:bottom w:val="none" w:sz="0" w:space="0" w:color="auto"/>
                            <w:right w:val="none" w:sz="0" w:space="0" w:color="auto"/>
                          </w:divBdr>
                          <w:divsChild>
                            <w:div w:id="808787531">
                              <w:marLeft w:val="0"/>
                              <w:marRight w:val="0"/>
                              <w:marTop w:val="0"/>
                              <w:marBottom w:val="0"/>
                              <w:divBdr>
                                <w:top w:val="none" w:sz="0" w:space="0" w:color="auto"/>
                                <w:left w:val="none" w:sz="0" w:space="0" w:color="auto"/>
                                <w:bottom w:val="none" w:sz="0" w:space="0" w:color="auto"/>
                                <w:right w:val="none" w:sz="0" w:space="0" w:color="auto"/>
                              </w:divBdr>
                            </w:div>
                          </w:divsChild>
                        </w:div>
                        <w:div w:id="436288460">
                          <w:marLeft w:val="0"/>
                          <w:marRight w:val="0"/>
                          <w:marTop w:val="0"/>
                          <w:marBottom w:val="0"/>
                          <w:divBdr>
                            <w:top w:val="none" w:sz="0" w:space="0" w:color="auto"/>
                            <w:left w:val="none" w:sz="0" w:space="0" w:color="auto"/>
                            <w:bottom w:val="none" w:sz="0" w:space="0" w:color="auto"/>
                            <w:right w:val="none" w:sz="0" w:space="0" w:color="auto"/>
                          </w:divBdr>
                          <w:divsChild>
                            <w:div w:id="58611672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4086741">
                  <w:marLeft w:val="0"/>
                  <w:marRight w:val="0"/>
                  <w:marTop w:val="0"/>
                  <w:marBottom w:val="0"/>
                  <w:divBdr>
                    <w:top w:val="none" w:sz="0" w:space="0" w:color="auto"/>
                    <w:left w:val="none" w:sz="0" w:space="0" w:color="auto"/>
                    <w:bottom w:val="none" w:sz="0" w:space="0" w:color="auto"/>
                    <w:right w:val="none" w:sz="0" w:space="0" w:color="auto"/>
                  </w:divBdr>
                  <w:divsChild>
                    <w:div w:id="330914272">
                      <w:marLeft w:val="0"/>
                      <w:marRight w:val="0"/>
                      <w:marTop w:val="0"/>
                      <w:marBottom w:val="600"/>
                      <w:divBdr>
                        <w:top w:val="none" w:sz="0" w:space="0" w:color="000000"/>
                        <w:left w:val="none" w:sz="0" w:space="0" w:color="000000"/>
                        <w:bottom w:val="none" w:sz="0" w:space="12" w:color="000000"/>
                        <w:right w:val="none" w:sz="0" w:space="0" w:color="000000"/>
                      </w:divBdr>
                      <w:divsChild>
                        <w:div w:id="464546445">
                          <w:marLeft w:val="0"/>
                          <w:marRight w:val="0"/>
                          <w:marTop w:val="0"/>
                          <w:marBottom w:val="0"/>
                          <w:divBdr>
                            <w:top w:val="none" w:sz="0" w:space="0" w:color="auto"/>
                            <w:left w:val="none" w:sz="0" w:space="0" w:color="auto"/>
                            <w:bottom w:val="none" w:sz="0" w:space="0" w:color="auto"/>
                            <w:right w:val="none" w:sz="0" w:space="0" w:color="auto"/>
                          </w:divBdr>
                          <w:divsChild>
                            <w:div w:id="891889511">
                              <w:marLeft w:val="0"/>
                              <w:marRight w:val="0"/>
                              <w:marTop w:val="0"/>
                              <w:marBottom w:val="0"/>
                              <w:divBdr>
                                <w:top w:val="none" w:sz="0" w:space="0" w:color="auto"/>
                                <w:left w:val="none" w:sz="0" w:space="0" w:color="auto"/>
                                <w:bottom w:val="none" w:sz="0" w:space="0" w:color="auto"/>
                                <w:right w:val="none" w:sz="0" w:space="0" w:color="auto"/>
                              </w:divBdr>
                              <w:divsChild>
                                <w:div w:id="1642534541">
                                  <w:marLeft w:val="0"/>
                                  <w:marRight w:val="0"/>
                                  <w:marTop w:val="0"/>
                                  <w:marBottom w:val="0"/>
                                  <w:divBdr>
                                    <w:top w:val="none" w:sz="0" w:space="0" w:color="auto"/>
                                    <w:left w:val="none" w:sz="0" w:space="0" w:color="auto"/>
                                    <w:bottom w:val="none" w:sz="0" w:space="0" w:color="auto"/>
                                    <w:right w:val="none" w:sz="0" w:space="0" w:color="auto"/>
                                  </w:divBdr>
                                </w:div>
                                <w:div w:id="16721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0909">
                          <w:marLeft w:val="0"/>
                          <w:marRight w:val="0"/>
                          <w:marTop w:val="0"/>
                          <w:marBottom w:val="0"/>
                          <w:divBdr>
                            <w:top w:val="none" w:sz="0" w:space="0" w:color="auto"/>
                            <w:left w:val="none" w:sz="0" w:space="0" w:color="auto"/>
                            <w:bottom w:val="none" w:sz="0" w:space="0" w:color="auto"/>
                            <w:right w:val="none" w:sz="0" w:space="0" w:color="auto"/>
                          </w:divBdr>
                          <w:divsChild>
                            <w:div w:id="457918116">
                              <w:marLeft w:val="0"/>
                              <w:marRight w:val="0"/>
                              <w:marTop w:val="0"/>
                              <w:marBottom w:val="0"/>
                              <w:divBdr>
                                <w:top w:val="none" w:sz="0" w:space="0" w:color="auto"/>
                                <w:left w:val="none" w:sz="0" w:space="0" w:color="auto"/>
                                <w:bottom w:val="none" w:sz="0" w:space="0" w:color="auto"/>
                                <w:right w:val="none" w:sz="0" w:space="0" w:color="auto"/>
                              </w:divBdr>
                              <w:divsChild>
                                <w:div w:id="433214967">
                                  <w:marLeft w:val="0"/>
                                  <w:marRight w:val="0"/>
                                  <w:marTop w:val="0"/>
                                  <w:marBottom w:val="0"/>
                                  <w:divBdr>
                                    <w:top w:val="none" w:sz="0" w:space="0" w:color="auto"/>
                                    <w:left w:val="none" w:sz="0" w:space="0" w:color="auto"/>
                                    <w:bottom w:val="none" w:sz="0" w:space="0" w:color="auto"/>
                                    <w:right w:val="none" w:sz="0" w:space="0" w:color="auto"/>
                                  </w:divBdr>
                                </w:div>
                                <w:div w:id="13181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2841">
                          <w:marLeft w:val="0"/>
                          <w:marRight w:val="0"/>
                          <w:marTop w:val="0"/>
                          <w:marBottom w:val="0"/>
                          <w:divBdr>
                            <w:top w:val="none" w:sz="0" w:space="0" w:color="auto"/>
                            <w:left w:val="none" w:sz="0" w:space="0" w:color="auto"/>
                            <w:bottom w:val="none" w:sz="0" w:space="0" w:color="auto"/>
                            <w:right w:val="none" w:sz="0" w:space="0" w:color="auto"/>
                          </w:divBdr>
                          <w:divsChild>
                            <w:div w:id="1216045810">
                              <w:marLeft w:val="0"/>
                              <w:marRight w:val="0"/>
                              <w:marTop w:val="0"/>
                              <w:marBottom w:val="0"/>
                              <w:divBdr>
                                <w:top w:val="none" w:sz="0" w:space="0" w:color="auto"/>
                                <w:left w:val="none" w:sz="0" w:space="0" w:color="auto"/>
                                <w:bottom w:val="none" w:sz="0" w:space="0" w:color="auto"/>
                                <w:right w:val="none" w:sz="0" w:space="0" w:color="auto"/>
                              </w:divBdr>
                              <w:divsChild>
                                <w:div w:id="436828586">
                                  <w:marLeft w:val="0"/>
                                  <w:marRight w:val="0"/>
                                  <w:marTop w:val="0"/>
                                  <w:marBottom w:val="0"/>
                                  <w:divBdr>
                                    <w:top w:val="none" w:sz="0" w:space="0" w:color="auto"/>
                                    <w:left w:val="none" w:sz="0" w:space="0" w:color="auto"/>
                                    <w:bottom w:val="none" w:sz="0" w:space="0" w:color="auto"/>
                                    <w:right w:val="none" w:sz="0" w:space="0" w:color="auto"/>
                                  </w:divBdr>
                                </w:div>
                                <w:div w:id="6476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2455">
                          <w:marLeft w:val="0"/>
                          <w:marRight w:val="0"/>
                          <w:marTop w:val="0"/>
                          <w:marBottom w:val="0"/>
                          <w:divBdr>
                            <w:top w:val="none" w:sz="0" w:space="0" w:color="auto"/>
                            <w:left w:val="none" w:sz="0" w:space="0" w:color="auto"/>
                            <w:bottom w:val="none" w:sz="0" w:space="0" w:color="auto"/>
                            <w:right w:val="none" w:sz="0" w:space="0" w:color="auto"/>
                          </w:divBdr>
                          <w:divsChild>
                            <w:div w:id="1136266160">
                              <w:marLeft w:val="0"/>
                              <w:marRight w:val="0"/>
                              <w:marTop w:val="0"/>
                              <w:marBottom w:val="0"/>
                              <w:divBdr>
                                <w:top w:val="none" w:sz="0" w:space="0" w:color="auto"/>
                                <w:left w:val="none" w:sz="0" w:space="0" w:color="auto"/>
                                <w:bottom w:val="none" w:sz="0" w:space="0" w:color="auto"/>
                                <w:right w:val="none" w:sz="0" w:space="0" w:color="auto"/>
                              </w:divBdr>
                              <w:divsChild>
                                <w:div w:id="316569968">
                                  <w:marLeft w:val="0"/>
                                  <w:marRight w:val="0"/>
                                  <w:marTop w:val="0"/>
                                  <w:marBottom w:val="0"/>
                                  <w:divBdr>
                                    <w:top w:val="none" w:sz="0" w:space="0" w:color="auto"/>
                                    <w:left w:val="none" w:sz="0" w:space="0" w:color="auto"/>
                                    <w:bottom w:val="none" w:sz="0" w:space="0" w:color="auto"/>
                                    <w:right w:val="none" w:sz="0" w:space="0" w:color="auto"/>
                                  </w:divBdr>
                                </w:div>
                                <w:div w:id="10405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99888">
                          <w:marLeft w:val="0"/>
                          <w:marRight w:val="0"/>
                          <w:marTop w:val="0"/>
                          <w:marBottom w:val="0"/>
                          <w:divBdr>
                            <w:top w:val="none" w:sz="0" w:space="0" w:color="auto"/>
                            <w:left w:val="none" w:sz="0" w:space="0" w:color="auto"/>
                            <w:bottom w:val="none" w:sz="0" w:space="0" w:color="auto"/>
                            <w:right w:val="none" w:sz="0" w:space="0" w:color="auto"/>
                          </w:divBdr>
                          <w:divsChild>
                            <w:div w:id="2055155573">
                              <w:marLeft w:val="0"/>
                              <w:marRight w:val="0"/>
                              <w:marTop w:val="0"/>
                              <w:marBottom w:val="0"/>
                              <w:divBdr>
                                <w:top w:val="none" w:sz="0" w:space="0" w:color="auto"/>
                                <w:left w:val="none" w:sz="0" w:space="0" w:color="auto"/>
                                <w:bottom w:val="none" w:sz="0" w:space="0" w:color="auto"/>
                                <w:right w:val="none" w:sz="0" w:space="0" w:color="auto"/>
                              </w:divBdr>
                              <w:divsChild>
                                <w:div w:id="1177693193">
                                  <w:marLeft w:val="0"/>
                                  <w:marRight w:val="0"/>
                                  <w:marTop w:val="0"/>
                                  <w:marBottom w:val="0"/>
                                  <w:divBdr>
                                    <w:top w:val="none" w:sz="0" w:space="0" w:color="auto"/>
                                    <w:left w:val="none" w:sz="0" w:space="0" w:color="auto"/>
                                    <w:bottom w:val="none" w:sz="0" w:space="0" w:color="auto"/>
                                    <w:right w:val="none" w:sz="0" w:space="0" w:color="auto"/>
                                  </w:divBdr>
                                </w:div>
                                <w:div w:id="21394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15071">
                  <w:marLeft w:val="0"/>
                  <w:marRight w:val="0"/>
                  <w:marTop w:val="0"/>
                  <w:marBottom w:val="600"/>
                  <w:divBdr>
                    <w:top w:val="none" w:sz="0" w:space="0" w:color="auto"/>
                    <w:left w:val="none" w:sz="0" w:space="0" w:color="auto"/>
                    <w:bottom w:val="none" w:sz="0" w:space="0" w:color="auto"/>
                    <w:right w:val="none" w:sz="0" w:space="0" w:color="auto"/>
                  </w:divBdr>
                  <w:divsChild>
                    <w:div w:id="920144448">
                      <w:marLeft w:val="0"/>
                      <w:marRight w:val="0"/>
                      <w:marTop w:val="0"/>
                      <w:marBottom w:val="0"/>
                      <w:divBdr>
                        <w:top w:val="none" w:sz="0" w:space="0" w:color="auto"/>
                        <w:left w:val="none" w:sz="0" w:space="0" w:color="auto"/>
                        <w:bottom w:val="none" w:sz="0" w:space="0" w:color="auto"/>
                        <w:right w:val="none" w:sz="0" w:space="0" w:color="auto"/>
                      </w:divBdr>
                      <w:divsChild>
                        <w:div w:id="604464173">
                          <w:marLeft w:val="0"/>
                          <w:marRight w:val="0"/>
                          <w:marTop w:val="0"/>
                          <w:marBottom w:val="0"/>
                          <w:divBdr>
                            <w:top w:val="none" w:sz="0" w:space="0" w:color="auto"/>
                            <w:left w:val="none" w:sz="0" w:space="0" w:color="auto"/>
                            <w:bottom w:val="none" w:sz="0" w:space="0" w:color="auto"/>
                            <w:right w:val="none" w:sz="0" w:space="0" w:color="auto"/>
                          </w:divBdr>
                          <w:divsChild>
                            <w:div w:id="1373772246">
                              <w:marLeft w:val="0"/>
                              <w:marRight w:val="0"/>
                              <w:marTop w:val="0"/>
                              <w:marBottom w:val="0"/>
                              <w:divBdr>
                                <w:top w:val="none" w:sz="0" w:space="0" w:color="auto"/>
                                <w:left w:val="none" w:sz="0" w:space="0" w:color="auto"/>
                                <w:bottom w:val="none" w:sz="0" w:space="0" w:color="auto"/>
                                <w:right w:val="none" w:sz="0" w:space="0" w:color="auto"/>
                              </w:divBdr>
                              <w:divsChild>
                                <w:div w:id="441846860">
                                  <w:marLeft w:val="0"/>
                                  <w:marRight w:val="0"/>
                                  <w:marTop w:val="0"/>
                                  <w:marBottom w:val="0"/>
                                  <w:divBdr>
                                    <w:top w:val="none" w:sz="0" w:space="0" w:color="auto"/>
                                    <w:left w:val="none" w:sz="0" w:space="0" w:color="auto"/>
                                    <w:bottom w:val="none" w:sz="0" w:space="0" w:color="auto"/>
                                    <w:right w:val="none" w:sz="0" w:space="0" w:color="auto"/>
                                  </w:divBdr>
                                  <w:divsChild>
                                    <w:div w:id="150602022">
                                      <w:marLeft w:val="0"/>
                                      <w:marRight w:val="0"/>
                                      <w:marTop w:val="120"/>
                                      <w:marBottom w:val="60"/>
                                      <w:divBdr>
                                        <w:top w:val="none" w:sz="0" w:space="0" w:color="auto"/>
                                        <w:left w:val="none" w:sz="0" w:space="0" w:color="auto"/>
                                        <w:bottom w:val="none" w:sz="0" w:space="0" w:color="auto"/>
                                        <w:right w:val="none" w:sz="0" w:space="0" w:color="auto"/>
                                      </w:divBdr>
                                    </w:div>
                                    <w:div w:id="251594258">
                                      <w:marLeft w:val="0"/>
                                      <w:marRight w:val="0"/>
                                      <w:marTop w:val="0"/>
                                      <w:marBottom w:val="240"/>
                                      <w:divBdr>
                                        <w:top w:val="none" w:sz="0" w:space="0" w:color="auto"/>
                                        <w:left w:val="none" w:sz="0" w:space="0" w:color="auto"/>
                                        <w:bottom w:val="none" w:sz="0" w:space="0" w:color="auto"/>
                                        <w:right w:val="none" w:sz="0" w:space="0" w:color="auto"/>
                                      </w:divBdr>
                                    </w:div>
                                    <w:div w:id="16324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5158">
                  <w:marLeft w:val="0"/>
                  <w:marRight w:val="0"/>
                  <w:marTop w:val="0"/>
                  <w:marBottom w:val="600"/>
                  <w:divBdr>
                    <w:top w:val="none" w:sz="0" w:space="0" w:color="auto"/>
                    <w:left w:val="none" w:sz="0" w:space="0" w:color="auto"/>
                    <w:bottom w:val="none" w:sz="0" w:space="0" w:color="auto"/>
                    <w:right w:val="none" w:sz="0" w:space="0" w:color="auto"/>
                  </w:divBdr>
                  <w:divsChild>
                    <w:div w:id="250506097">
                      <w:marLeft w:val="0"/>
                      <w:marRight w:val="0"/>
                      <w:marTop w:val="0"/>
                      <w:marBottom w:val="960"/>
                      <w:divBdr>
                        <w:top w:val="none" w:sz="0" w:space="0" w:color="auto"/>
                        <w:left w:val="none" w:sz="0" w:space="0" w:color="auto"/>
                        <w:bottom w:val="none" w:sz="0" w:space="0" w:color="auto"/>
                        <w:right w:val="none" w:sz="0" w:space="0" w:color="auto"/>
                      </w:divBdr>
                      <w:divsChild>
                        <w:div w:id="877859338">
                          <w:marLeft w:val="0"/>
                          <w:marRight w:val="0"/>
                          <w:marTop w:val="0"/>
                          <w:marBottom w:val="0"/>
                          <w:divBdr>
                            <w:top w:val="none" w:sz="0" w:space="0" w:color="auto"/>
                            <w:left w:val="none" w:sz="0" w:space="0" w:color="auto"/>
                            <w:bottom w:val="none" w:sz="0" w:space="0" w:color="auto"/>
                            <w:right w:val="none" w:sz="0" w:space="0" w:color="auto"/>
                          </w:divBdr>
                          <w:divsChild>
                            <w:div w:id="1380058180">
                              <w:marLeft w:val="0"/>
                              <w:marRight w:val="0"/>
                              <w:marTop w:val="0"/>
                              <w:marBottom w:val="0"/>
                              <w:divBdr>
                                <w:top w:val="none" w:sz="0" w:space="0" w:color="auto"/>
                                <w:left w:val="none" w:sz="0" w:space="0" w:color="auto"/>
                                <w:bottom w:val="none" w:sz="0" w:space="0" w:color="auto"/>
                                <w:right w:val="none" w:sz="0" w:space="0" w:color="auto"/>
                              </w:divBdr>
                              <w:divsChild>
                                <w:div w:id="5434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53574">
                  <w:marLeft w:val="0"/>
                  <w:marRight w:val="0"/>
                  <w:marTop w:val="0"/>
                  <w:marBottom w:val="0"/>
                  <w:divBdr>
                    <w:top w:val="none" w:sz="0" w:space="0" w:color="2A2A2A"/>
                    <w:left w:val="none" w:sz="0" w:space="0" w:color="2A2A2A"/>
                    <w:bottom w:val="none" w:sz="0" w:space="0" w:color="2A2A2A"/>
                    <w:right w:val="none" w:sz="0" w:space="0" w:color="2A2A2A"/>
                  </w:divBdr>
                  <w:divsChild>
                    <w:div w:id="1799688042">
                      <w:marLeft w:val="0"/>
                      <w:marRight w:val="0"/>
                      <w:marTop w:val="0"/>
                      <w:marBottom w:val="0"/>
                      <w:divBdr>
                        <w:top w:val="none" w:sz="0" w:space="0" w:color="auto"/>
                        <w:left w:val="none" w:sz="0" w:space="0" w:color="auto"/>
                        <w:bottom w:val="none" w:sz="0" w:space="0" w:color="auto"/>
                        <w:right w:val="none" w:sz="0" w:space="0" w:color="auto"/>
                      </w:divBdr>
                      <w:divsChild>
                        <w:div w:id="1207525726">
                          <w:marLeft w:val="0"/>
                          <w:marRight w:val="0"/>
                          <w:marTop w:val="0"/>
                          <w:marBottom w:val="0"/>
                          <w:divBdr>
                            <w:top w:val="none" w:sz="0" w:space="0" w:color="auto"/>
                            <w:left w:val="none" w:sz="0" w:space="0" w:color="auto"/>
                            <w:bottom w:val="none" w:sz="0" w:space="0" w:color="auto"/>
                            <w:right w:val="none" w:sz="0" w:space="0" w:color="auto"/>
                          </w:divBdr>
                          <w:divsChild>
                            <w:div w:id="1054235763">
                              <w:marLeft w:val="0"/>
                              <w:marRight w:val="0"/>
                              <w:marTop w:val="0"/>
                              <w:marBottom w:val="0"/>
                              <w:divBdr>
                                <w:top w:val="none" w:sz="0" w:space="0" w:color="auto"/>
                                <w:left w:val="none" w:sz="0" w:space="0" w:color="auto"/>
                                <w:bottom w:val="none" w:sz="0" w:space="0" w:color="auto"/>
                                <w:right w:val="none" w:sz="0" w:space="0" w:color="auto"/>
                              </w:divBdr>
                              <w:divsChild>
                                <w:div w:id="1279675282">
                                  <w:marLeft w:val="0"/>
                                  <w:marRight w:val="0"/>
                                  <w:marTop w:val="0"/>
                                  <w:marBottom w:val="0"/>
                                  <w:divBdr>
                                    <w:top w:val="none" w:sz="0" w:space="0" w:color="auto"/>
                                    <w:left w:val="none" w:sz="0" w:space="0" w:color="auto"/>
                                    <w:bottom w:val="none" w:sz="0" w:space="0" w:color="auto"/>
                                    <w:right w:val="none" w:sz="0" w:space="0" w:color="auto"/>
                                  </w:divBdr>
                                  <w:divsChild>
                                    <w:div w:id="1007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828231">
                  <w:marLeft w:val="0"/>
                  <w:marRight w:val="0"/>
                  <w:marTop w:val="0"/>
                  <w:marBottom w:val="600"/>
                  <w:divBdr>
                    <w:top w:val="none" w:sz="0" w:space="0" w:color="auto"/>
                    <w:left w:val="none" w:sz="0" w:space="0" w:color="auto"/>
                    <w:bottom w:val="none" w:sz="0" w:space="0" w:color="auto"/>
                    <w:right w:val="none" w:sz="0" w:space="0" w:color="auto"/>
                  </w:divBdr>
                  <w:divsChild>
                    <w:div w:id="969943606">
                      <w:marLeft w:val="0"/>
                      <w:marRight w:val="0"/>
                      <w:marTop w:val="0"/>
                      <w:marBottom w:val="0"/>
                      <w:divBdr>
                        <w:top w:val="none" w:sz="0" w:space="0" w:color="auto"/>
                        <w:left w:val="none" w:sz="0" w:space="0" w:color="auto"/>
                        <w:bottom w:val="none" w:sz="0" w:space="0" w:color="auto"/>
                        <w:right w:val="none" w:sz="0" w:space="0" w:color="auto"/>
                      </w:divBdr>
                      <w:divsChild>
                        <w:div w:id="898318942">
                          <w:marLeft w:val="0"/>
                          <w:marRight w:val="0"/>
                          <w:marTop w:val="0"/>
                          <w:marBottom w:val="0"/>
                          <w:divBdr>
                            <w:top w:val="none" w:sz="0" w:space="0" w:color="auto"/>
                            <w:left w:val="none" w:sz="0" w:space="0" w:color="auto"/>
                            <w:bottom w:val="none" w:sz="0" w:space="0" w:color="auto"/>
                            <w:right w:val="none" w:sz="0" w:space="0" w:color="auto"/>
                          </w:divBdr>
                          <w:divsChild>
                            <w:div w:id="1426540600">
                              <w:marLeft w:val="0"/>
                              <w:marRight w:val="0"/>
                              <w:marTop w:val="0"/>
                              <w:marBottom w:val="0"/>
                              <w:divBdr>
                                <w:top w:val="none" w:sz="0" w:space="0" w:color="auto"/>
                                <w:left w:val="none" w:sz="0" w:space="0" w:color="auto"/>
                                <w:bottom w:val="none" w:sz="0" w:space="0" w:color="auto"/>
                                <w:right w:val="none" w:sz="0" w:space="0" w:color="auto"/>
                              </w:divBdr>
                              <w:divsChild>
                                <w:div w:id="1367566376">
                                  <w:marLeft w:val="0"/>
                                  <w:marRight w:val="0"/>
                                  <w:marTop w:val="0"/>
                                  <w:marBottom w:val="0"/>
                                  <w:divBdr>
                                    <w:top w:val="none" w:sz="0" w:space="0" w:color="auto"/>
                                    <w:left w:val="none" w:sz="0" w:space="0" w:color="auto"/>
                                    <w:bottom w:val="none" w:sz="0" w:space="0" w:color="auto"/>
                                    <w:right w:val="none" w:sz="0" w:space="0" w:color="auto"/>
                                  </w:divBdr>
                                </w:div>
                                <w:div w:id="1431580874">
                                  <w:marLeft w:val="0"/>
                                  <w:marRight w:val="0"/>
                                  <w:marTop w:val="0"/>
                                  <w:marBottom w:val="0"/>
                                  <w:divBdr>
                                    <w:top w:val="none" w:sz="0" w:space="0" w:color="auto"/>
                                    <w:left w:val="none" w:sz="0" w:space="0" w:color="auto"/>
                                    <w:bottom w:val="none" w:sz="0" w:space="0" w:color="auto"/>
                                    <w:right w:val="none" w:sz="0" w:space="0" w:color="auto"/>
                                  </w:divBdr>
                                  <w:divsChild>
                                    <w:div w:id="83571304">
                                      <w:marLeft w:val="0"/>
                                      <w:marRight w:val="0"/>
                                      <w:marTop w:val="0"/>
                                      <w:marBottom w:val="0"/>
                                      <w:divBdr>
                                        <w:top w:val="none" w:sz="0" w:space="0" w:color="auto"/>
                                        <w:left w:val="none" w:sz="0" w:space="0" w:color="auto"/>
                                        <w:bottom w:val="none" w:sz="0" w:space="0" w:color="auto"/>
                                        <w:right w:val="none" w:sz="0" w:space="0" w:color="auto"/>
                                      </w:divBdr>
                                    </w:div>
                                  </w:divsChild>
                                </w:div>
                                <w:div w:id="544030042">
                                  <w:marLeft w:val="0"/>
                                  <w:marRight w:val="0"/>
                                  <w:marTop w:val="0"/>
                                  <w:marBottom w:val="0"/>
                                  <w:divBdr>
                                    <w:top w:val="none" w:sz="0" w:space="0" w:color="auto"/>
                                    <w:left w:val="none" w:sz="0" w:space="0" w:color="auto"/>
                                    <w:bottom w:val="none" w:sz="0" w:space="0" w:color="auto"/>
                                    <w:right w:val="none" w:sz="0" w:space="0" w:color="auto"/>
                                  </w:divBdr>
                                  <w:divsChild>
                                    <w:div w:id="1224289617">
                                      <w:marLeft w:val="0"/>
                                      <w:marRight w:val="240"/>
                                      <w:marTop w:val="0"/>
                                      <w:marBottom w:val="0"/>
                                      <w:divBdr>
                                        <w:top w:val="none" w:sz="0" w:space="0" w:color="auto"/>
                                        <w:left w:val="none" w:sz="0" w:space="0" w:color="auto"/>
                                        <w:bottom w:val="none" w:sz="0" w:space="0" w:color="auto"/>
                                        <w:right w:val="none" w:sz="0" w:space="0" w:color="auto"/>
                                      </w:divBdr>
                                    </w:div>
                                    <w:div w:id="2029408312">
                                      <w:marLeft w:val="0"/>
                                      <w:marRight w:val="0"/>
                                      <w:marTop w:val="0"/>
                                      <w:marBottom w:val="0"/>
                                      <w:divBdr>
                                        <w:top w:val="none" w:sz="0" w:space="0" w:color="auto"/>
                                        <w:left w:val="none" w:sz="0" w:space="0" w:color="auto"/>
                                        <w:bottom w:val="none" w:sz="0" w:space="0" w:color="auto"/>
                                        <w:right w:val="none" w:sz="0" w:space="0" w:color="auto"/>
                                      </w:divBdr>
                                    </w:div>
                                  </w:divsChild>
                                </w:div>
                                <w:div w:id="1802068831">
                                  <w:marLeft w:val="0"/>
                                  <w:marRight w:val="0"/>
                                  <w:marTop w:val="0"/>
                                  <w:marBottom w:val="0"/>
                                  <w:divBdr>
                                    <w:top w:val="none" w:sz="0" w:space="0" w:color="auto"/>
                                    <w:left w:val="none" w:sz="0" w:space="0" w:color="auto"/>
                                    <w:bottom w:val="none" w:sz="0" w:space="0" w:color="auto"/>
                                    <w:right w:val="none" w:sz="0" w:space="0" w:color="auto"/>
                                  </w:divBdr>
                                  <w:divsChild>
                                    <w:div w:id="933127262">
                                      <w:marLeft w:val="0"/>
                                      <w:marRight w:val="240"/>
                                      <w:marTop w:val="0"/>
                                      <w:marBottom w:val="0"/>
                                      <w:divBdr>
                                        <w:top w:val="none" w:sz="0" w:space="0" w:color="auto"/>
                                        <w:left w:val="none" w:sz="0" w:space="0" w:color="auto"/>
                                        <w:bottom w:val="none" w:sz="0" w:space="0" w:color="auto"/>
                                        <w:right w:val="none" w:sz="0" w:space="0" w:color="auto"/>
                                      </w:divBdr>
                                    </w:div>
                                    <w:div w:id="1845240250">
                                      <w:marLeft w:val="0"/>
                                      <w:marRight w:val="0"/>
                                      <w:marTop w:val="0"/>
                                      <w:marBottom w:val="0"/>
                                      <w:divBdr>
                                        <w:top w:val="none" w:sz="0" w:space="0" w:color="auto"/>
                                        <w:left w:val="none" w:sz="0" w:space="0" w:color="auto"/>
                                        <w:bottom w:val="none" w:sz="0" w:space="0" w:color="auto"/>
                                        <w:right w:val="none" w:sz="0" w:space="0" w:color="auto"/>
                                      </w:divBdr>
                                      <w:divsChild>
                                        <w:div w:id="3805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110">
                                  <w:marLeft w:val="0"/>
                                  <w:marRight w:val="0"/>
                                  <w:marTop w:val="0"/>
                                  <w:marBottom w:val="0"/>
                                  <w:divBdr>
                                    <w:top w:val="none" w:sz="0" w:space="0" w:color="auto"/>
                                    <w:left w:val="none" w:sz="0" w:space="0" w:color="auto"/>
                                    <w:bottom w:val="none" w:sz="0" w:space="0" w:color="auto"/>
                                    <w:right w:val="none" w:sz="0" w:space="0" w:color="auto"/>
                                  </w:divBdr>
                                  <w:divsChild>
                                    <w:div w:id="1344894843">
                                      <w:marLeft w:val="0"/>
                                      <w:marRight w:val="240"/>
                                      <w:marTop w:val="0"/>
                                      <w:marBottom w:val="0"/>
                                      <w:divBdr>
                                        <w:top w:val="none" w:sz="0" w:space="0" w:color="auto"/>
                                        <w:left w:val="none" w:sz="0" w:space="0" w:color="auto"/>
                                        <w:bottom w:val="none" w:sz="0" w:space="0" w:color="auto"/>
                                        <w:right w:val="none" w:sz="0" w:space="0" w:color="auto"/>
                                      </w:divBdr>
                                    </w:div>
                                    <w:div w:id="1757902679">
                                      <w:marLeft w:val="0"/>
                                      <w:marRight w:val="0"/>
                                      <w:marTop w:val="0"/>
                                      <w:marBottom w:val="0"/>
                                      <w:divBdr>
                                        <w:top w:val="none" w:sz="0" w:space="0" w:color="auto"/>
                                        <w:left w:val="none" w:sz="0" w:space="0" w:color="auto"/>
                                        <w:bottom w:val="none" w:sz="0" w:space="0" w:color="auto"/>
                                        <w:right w:val="none" w:sz="0" w:space="0" w:color="auto"/>
                                      </w:divBdr>
                                      <w:divsChild>
                                        <w:div w:id="6668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208">
                                  <w:marLeft w:val="0"/>
                                  <w:marRight w:val="0"/>
                                  <w:marTop w:val="0"/>
                                  <w:marBottom w:val="0"/>
                                  <w:divBdr>
                                    <w:top w:val="none" w:sz="0" w:space="0" w:color="auto"/>
                                    <w:left w:val="none" w:sz="0" w:space="0" w:color="auto"/>
                                    <w:bottom w:val="none" w:sz="0" w:space="0" w:color="auto"/>
                                    <w:right w:val="none" w:sz="0" w:space="0" w:color="auto"/>
                                  </w:divBdr>
                                  <w:divsChild>
                                    <w:div w:id="1924678264">
                                      <w:marLeft w:val="0"/>
                                      <w:marRight w:val="240"/>
                                      <w:marTop w:val="0"/>
                                      <w:marBottom w:val="0"/>
                                      <w:divBdr>
                                        <w:top w:val="none" w:sz="0" w:space="0" w:color="auto"/>
                                        <w:left w:val="none" w:sz="0" w:space="0" w:color="auto"/>
                                        <w:bottom w:val="none" w:sz="0" w:space="0" w:color="auto"/>
                                        <w:right w:val="none" w:sz="0" w:space="0" w:color="auto"/>
                                      </w:divBdr>
                                    </w:div>
                                    <w:div w:id="1813057637">
                                      <w:marLeft w:val="0"/>
                                      <w:marRight w:val="0"/>
                                      <w:marTop w:val="0"/>
                                      <w:marBottom w:val="0"/>
                                      <w:divBdr>
                                        <w:top w:val="none" w:sz="0" w:space="0" w:color="auto"/>
                                        <w:left w:val="none" w:sz="0" w:space="0" w:color="auto"/>
                                        <w:bottom w:val="none" w:sz="0" w:space="0" w:color="auto"/>
                                        <w:right w:val="none" w:sz="0" w:space="0" w:color="auto"/>
                                      </w:divBdr>
                                      <w:divsChild>
                                        <w:div w:id="1264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1177">
                                  <w:marLeft w:val="0"/>
                                  <w:marRight w:val="0"/>
                                  <w:marTop w:val="0"/>
                                  <w:marBottom w:val="0"/>
                                  <w:divBdr>
                                    <w:top w:val="none" w:sz="0" w:space="0" w:color="auto"/>
                                    <w:left w:val="none" w:sz="0" w:space="0" w:color="auto"/>
                                    <w:bottom w:val="none" w:sz="0" w:space="0" w:color="auto"/>
                                    <w:right w:val="none" w:sz="0" w:space="0" w:color="auto"/>
                                  </w:divBdr>
                                  <w:divsChild>
                                    <w:div w:id="1376008397">
                                      <w:marLeft w:val="0"/>
                                      <w:marRight w:val="240"/>
                                      <w:marTop w:val="0"/>
                                      <w:marBottom w:val="0"/>
                                      <w:divBdr>
                                        <w:top w:val="none" w:sz="0" w:space="0" w:color="auto"/>
                                        <w:left w:val="none" w:sz="0" w:space="0" w:color="auto"/>
                                        <w:bottom w:val="none" w:sz="0" w:space="0" w:color="auto"/>
                                        <w:right w:val="none" w:sz="0" w:space="0" w:color="auto"/>
                                      </w:divBdr>
                                    </w:div>
                                    <w:div w:id="15861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03343">
                  <w:marLeft w:val="0"/>
                  <w:marRight w:val="0"/>
                  <w:marTop w:val="0"/>
                  <w:marBottom w:val="0"/>
                  <w:divBdr>
                    <w:top w:val="none" w:sz="0" w:space="0" w:color="auto"/>
                    <w:left w:val="none" w:sz="0" w:space="0" w:color="auto"/>
                    <w:bottom w:val="none" w:sz="0" w:space="0" w:color="auto"/>
                    <w:right w:val="none" w:sz="0" w:space="0" w:color="auto"/>
                  </w:divBdr>
                  <w:divsChild>
                    <w:div w:id="1769813084">
                      <w:marLeft w:val="0"/>
                      <w:marRight w:val="0"/>
                      <w:marTop w:val="0"/>
                      <w:marBottom w:val="0"/>
                      <w:divBdr>
                        <w:top w:val="none" w:sz="0" w:space="0" w:color="auto"/>
                        <w:left w:val="none" w:sz="0" w:space="0" w:color="auto"/>
                        <w:bottom w:val="none" w:sz="0" w:space="0" w:color="auto"/>
                        <w:right w:val="none" w:sz="0" w:space="0" w:color="auto"/>
                      </w:divBdr>
                      <w:divsChild>
                        <w:div w:id="235358483">
                          <w:marLeft w:val="0"/>
                          <w:marRight w:val="0"/>
                          <w:marTop w:val="0"/>
                          <w:marBottom w:val="0"/>
                          <w:divBdr>
                            <w:top w:val="none" w:sz="0" w:space="0" w:color="auto"/>
                            <w:left w:val="none" w:sz="0" w:space="0" w:color="auto"/>
                            <w:bottom w:val="none" w:sz="0" w:space="0" w:color="auto"/>
                            <w:right w:val="none" w:sz="0" w:space="0" w:color="auto"/>
                          </w:divBdr>
                          <w:divsChild>
                            <w:div w:id="1376807407">
                              <w:marLeft w:val="0"/>
                              <w:marRight w:val="0"/>
                              <w:marTop w:val="0"/>
                              <w:marBottom w:val="0"/>
                              <w:divBdr>
                                <w:top w:val="none" w:sz="0" w:space="0" w:color="auto"/>
                                <w:left w:val="none" w:sz="0" w:space="0" w:color="auto"/>
                                <w:bottom w:val="none" w:sz="0" w:space="0" w:color="auto"/>
                                <w:right w:val="none" w:sz="0" w:space="0" w:color="auto"/>
                              </w:divBdr>
                              <w:divsChild>
                                <w:div w:id="2028362363">
                                  <w:marLeft w:val="0"/>
                                  <w:marRight w:val="0"/>
                                  <w:marTop w:val="0"/>
                                  <w:marBottom w:val="0"/>
                                  <w:divBdr>
                                    <w:top w:val="none" w:sz="0" w:space="0" w:color="auto"/>
                                    <w:left w:val="none" w:sz="0" w:space="0" w:color="auto"/>
                                    <w:bottom w:val="none" w:sz="0" w:space="0" w:color="auto"/>
                                    <w:right w:val="none" w:sz="0" w:space="0" w:color="auto"/>
                                  </w:divBdr>
                                  <w:divsChild>
                                    <w:div w:id="6755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95694">
                  <w:marLeft w:val="0"/>
                  <w:marRight w:val="0"/>
                  <w:marTop w:val="0"/>
                  <w:marBottom w:val="600"/>
                  <w:divBdr>
                    <w:top w:val="none" w:sz="0" w:space="0" w:color="auto"/>
                    <w:left w:val="none" w:sz="0" w:space="0" w:color="auto"/>
                    <w:bottom w:val="none" w:sz="0" w:space="0" w:color="auto"/>
                    <w:right w:val="none" w:sz="0" w:space="0" w:color="auto"/>
                  </w:divBdr>
                  <w:divsChild>
                    <w:div w:id="150025137">
                      <w:marLeft w:val="0"/>
                      <w:marRight w:val="0"/>
                      <w:marTop w:val="0"/>
                      <w:marBottom w:val="0"/>
                      <w:divBdr>
                        <w:top w:val="none" w:sz="0" w:space="0" w:color="auto"/>
                        <w:left w:val="none" w:sz="0" w:space="0" w:color="auto"/>
                        <w:bottom w:val="none" w:sz="0" w:space="0" w:color="auto"/>
                        <w:right w:val="none" w:sz="0" w:space="0" w:color="auto"/>
                      </w:divBdr>
                      <w:divsChild>
                        <w:div w:id="365520326">
                          <w:marLeft w:val="0"/>
                          <w:marRight w:val="0"/>
                          <w:marTop w:val="0"/>
                          <w:marBottom w:val="0"/>
                          <w:divBdr>
                            <w:top w:val="none" w:sz="0" w:space="0" w:color="auto"/>
                            <w:left w:val="none" w:sz="0" w:space="0" w:color="auto"/>
                            <w:bottom w:val="none" w:sz="0" w:space="0" w:color="auto"/>
                            <w:right w:val="none" w:sz="0" w:space="0" w:color="auto"/>
                          </w:divBdr>
                          <w:divsChild>
                            <w:div w:id="6813950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97636033">
                  <w:marLeft w:val="0"/>
                  <w:marRight w:val="0"/>
                  <w:marTop w:val="0"/>
                  <w:marBottom w:val="0"/>
                  <w:divBdr>
                    <w:top w:val="none" w:sz="0" w:space="0" w:color="2A2A2A"/>
                    <w:left w:val="none" w:sz="0" w:space="0" w:color="2A2A2A"/>
                    <w:bottom w:val="none" w:sz="0" w:space="0" w:color="2A2A2A"/>
                    <w:right w:val="none" w:sz="0" w:space="0" w:color="2A2A2A"/>
                  </w:divBdr>
                  <w:divsChild>
                    <w:div w:id="1321470310">
                      <w:marLeft w:val="0"/>
                      <w:marRight w:val="0"/>
                      <w:marTop w:val="0"/>
                      <w:marBottom w:val="0"/>
                      <w:divBdr>
                        <w:top w:val="none" w:sz="0" w:space="0" w:color="auto"/>
                        <w:left w:val="none" w:sz="0" w:space="0" w:color="auto"/>
                        <w:bottom w:val="none" w:sz="0" w:space="0" w:color="auto"/>
                        <w:right w:val="none" w:sz="0" w:space="0" w:color="auto"/>
                      </w:divBdr>
                      <w:divsChild>
                        <w:div w:id="152988415">
                          <w:marLeft w:val="0"/>
                          <w:marRight w:val="0"/>
                          <w:marTop w:val="0"/>
                          <w:marBottom w:val="0"/>
                          <w:divBdr>
                            <w:top w:val="none" w:sz="0" w:space="0" w:color="auto"/>
                            <w:left w:val="none" w:sz="0" w:space="0" w:color="auto"/>
                            <w:bottom w:val="none" w:sz="0" w:space="0" w:color="auto"/>
                            <w:right w:val="none" w:sz="0" w:space="0" w:color="auto"/>
                          </w:divBdr>
                          <w:divsChild>
                            <w:div w:id="2054423963">
                              <w:marLeft w:val="0"/>
                              <w:marRight w:val="0"/>
                              <w:marTop w:val="0"/>
                              <w:marBottom w:val="0"/>
                              <w:divBdr>
                                <w:top w:val="none" w:sz="0" w:space="0" w:color="auto"/>
                                <w:left w:val="none" w:sz="0" w:space="0" w:color="auto"/>
                                <w:bottom w:val="none" w:sz="0" w:space="0" w:color="auto"/>
                                <w:right w:val="none" w:sz="0" w:space="0" w:color="auto"/>
                              </w:divBdr>
                              <w:divsChild>
                                <w:div w:id="797335869">
                                  <w:marLeft w:val="0"/>
                                  <w:marRight w:val="0"/>
                                  <w:marTop w:val="0"/>
                                  <w:marBottom w:val="0"/>
                                  <w:divBdr>
                                    <w:top w:val="none" w:sz="0" w:space="0" w:color="auto"/>
                                    <w:left w:val="none" w:sz="0" w:space="0" w:color="auto"/>
                                    <w:bottom w:val="none" w:sz="0" w:space="0" w:color="auto"/>
                                    <w:right w:val="none" w:sz="0" w:space="0" w:color="auto"/>
                                  </w:divBdr>
                                  <w:divsChild>
                                    <w:div w:id="16579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5635">
                  <w:marLeft w:val="0"/>
                  <w:marRight w:val="0"/>
                  <w:marTop w:val="0"/>
                  <w:marBottom w:val="0"/>
                  <w:divBdr>
                    <w:top w:val="none" w:sz="0" w:space="0" w:color="auto"/>
                    <w:left w:val="none" w:sz="0" w:space="0" w:color="auto"/>
                    <w:bottom w:val="none" w:sz="0" w:space="0" w:color="auto"/>
                    <w:right w:val="none" w:sz="0" w:space="0" w:color="auto"/>
                  </w:divBdr>
                  <w:divsChild>
                    <w:div w:id="766000976">
                      <w:marLeft w:val="0"/>
                      <w:marRight w:val="0"/>
                      <w:marTop w:val="0"/>
                      <w:marBottom w:val="0"/>
                      <w:divBdr>
                        <w:top w:val="none" w:sz="0" w:space="0" w:color="auto"/>
                        <w:left w:val="none" w:sz="0" w:space="0" w:color="auto"/>
                        <w:bottom w:val="none" w:sz="0" w:space="0" w:color="auto"/>
                        <w:right w:val="none" w:sz="0" w:space="0" w:color="auto"/>
                      </w:divBdr>
                      <w:divsChild>
                        <w:div w:id="387261434">
                          <w:marLeft w:val="0"/>
                          <w:marRight w:val="0"/>
                          <w:marTop w:val="0"/>
                          <w:marBottom w:val="0"/>
                          <w:divBdr>
                            <w:top w:val="none" w:sz="0" w:space="0" w:color="auto"/>
                            <w:left w:val="none" w:sz="0" w:space="0" w:color="auto"/>
                            <w:bottom w:val="none" w:sz="0" w:space="0" w:color="auto"/>
                            <w:right w:val="none" w:sz="0" w:space="0" w:color="auto"/>
                          </w:divBdr>
                          <w:divsChild>
                            <w:div w:id="656736810">
                              <w:marLeft w:val="0"/>
                              <w:marRight w:val="0"/>
                              <w:marTop w:val="0"/>
                              <w:marBottom w:val="0"/>
                              <w:divBdr>
                                <w:top w:val="none" w:sz="0" w:space="0" w:color="auto"/>
                                <w:left w:val="none" w:sz="0" w:space="0" w:color="auto"/>
                                <w:bottom w:val="none" w:sz="0" w:space="0" w:color="auto"/>
                                <w:right w:val="none" w:sz="0" w:space="0" w:color="auto"/>
                              </w:divBdr>
                              <w:divsChild>
                                <w:div w:id="1176044131">
                                  <w:marLeft w:val="0"/>
                                  <w:marRight w:val="0"/>
                                  <w:marTop w:val="0"/>
                                  <w:marBottom w:val="0"/>
                                  <w:divBdr>
                                    <w:top w:val="none" w:sz="0" w:space="0" w:color="auto"/>
                                    <w:left w:val="none" w:sz="0" w:space="0" w:color="auto"/>
                                    <w:bottom w:val="none" w:sz="0" w:space="0" w:color="auto"/>
                                    <w:right w:val="none" w:sz="0" w:space="0" w:color="auto"/>
                                  </w:divBdr>
                                  <w:divsChild>
                                    <w:div w:id="7842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58795">
                  <w:marLeft w:val="0"/>
                  <w:marRight w:val="0"/>
                  <w:marTop w:val="0"/>
                  <w:marBottom w:val="0"/>
                  <w:divBdr>
                    <w:top w:val="none" w:sz="0" w:space="0" w:color="auto"/>
                    <w:left w:val="none" w:sz="0" w:space="0" w:color="auto"/>
                    <w:bottom w:val="none" w:sz="0" w:space="0" w:color="auto"/>
                    <w:right w:val="none" w:sz="0" w:space="0" w:color="auto"/>
                  </w:divBdr>
                  <w:divsChild>
                    <w:div w:id="150996262">
                      <w:marLeft w:val="0"/>
                      <w:marRight w:val="0"/>
                      <w:marTop w:val="0"/>
                      <w:marBottom w:val="0"/>
                      <w:divBdr>
                        <w:top w:val="none" w:sz="0" w:space="0" w:color="auto"/>
                        <w:left w:val="none" w:sz="0" w:space="0" w:color="auto"/>
                        <w:bottom w:val="none" w:sz="0" w:space="0" w:color="auto"/>
                        <w:right w:val="none" w:sz="0" w:space="0" w:color="auto"/>
                      </w:divBdr>
                      <w:divsChild>
                        <w:div w:id="1631012201">
                          <w:marLeft w:val="0"/>
                          <w:marRight w:val="0"/>
                          <w:marTop w:val="0"/>
                          <w:marBottom w:val="0"/>
                          <w:divBdr>
                            <w:top w:val="none" w:sz="0" w:space="0" w:color="auto"/>
                            <w:left w:val="none" w:sz="0" w:space="0" w:color="auto"/>
                            <w:bottom w:val="none" w:sz="0" w:space="0" w:color="auto"/>
                            <w:right w:val="none" w:sz="0" w:space="0" w:color="auto"/>
                          </w:divBdr>
                          <w:divsChild>
                            <w:div w:id="1886748006">
                              <w:marLeft w:val="0"/>
                              <w:marRight w:val="0"/>
                              <w:marTop w:val="0"/>
                              <w:marBottom w:val="0"/>
                              <w:divBdr>
                                <w:top w:val="none" w:sz="0" w:space="0" w:color="auto"/>
                                <w:left w:val="none" w:sz="0" w:space="0" w:color="auto"/>
                                <w:bottom w:val="none" w:sz="0" w:space="0" w:color="auto"/>
                                <w:right w:val="none" w:sz="0" w:space="0" w:color="auto"/>
                              </w:divBdr>
                              <w:divsChild>
                                <w:div w:id="203059082">
                                  <w:marLeft w:val="0"/>
                                  <w:marRight w:val="0"/>
                                  <w:marTop w:val="360"/>
                                  <w:marBottom w:val="0"/>
                                  <w:divBdr>
                                    <w:top w:val="none" w:sz="0" w:space="0" w:color="auto"/>
                                    <w:left w:val="none" w:sz="0" w:space="0" w:color="auto"/>
                                    <w:bottom w:val="none" w:sz="0" w:space="0" w:color="auto"/>
                                    <w:right w:val="none" w:sz="0" w:space="0" w:color="auto"/>
                                  </w:divBdr>
                                </w:div>
                              </w:divsChild>
                            </w:div>
                            <w:div w:id="880358527">
                              <w:marLeft w:val="0"/>
                              <w:marRight w:val="0"/>
                              <w:marTop w:val="0"/>
                              <w:marBottom w:val="0"/>
                              <w:divBdr>
                                <w:top w:val="none" w:sz="0" w:space="0" w:color="auto"/>
                                <w:left w:val="none" w:sz="0" w:space="0" w:color="auto"/>
                                <w:bottom w:val="none" w:sz="0" w:space="0" w:color="auto"/>
                                <w:right w:val="none" w:sz="0" w:space="0" w:color="auto"/>
                              </w:divBdr>
                              <w:divsChild>
                                <w:div w:id="1897400567">
                                  <w:marLeft w:val="0"/>
                                  <w:marRight w:val="0"/>
                                  <w:marTop w:val="360"/>
                                  <w:marBottom w:val="0"/>
                                  <w:divBdr>
                                    <w:top w:val="none" w:sz="0" w:space="0" w:color="auto"/>
                                    <w:left w:val="none" w:sz="0" w:space="0" w:color="auto"/>
                                    <w:bottom w:val="none" w:sz="0" w:space="0" w:color="auto"/>
                                    <w:right w:val="none" w:sz="0" w:space="0" w:color="auto"/>
                                  </w:divBdr>
                                </w:div>
                              </w:divsChild>
                            </w:div>
                            <w:div w:id="1157575738">
                              <w:marLeft w:val="0"/>
                              <w:marRight w:val="0"/>
                              <w:marTop w:val="0"/>
                              <w:marBottom w:val="0"/>
                              <w:divBdr>
                                <w:top w:val="none" w:sz="0" w:space="0" w:color="auto"/>
                                <w:left w:val="none" w:sz="0" w:space="0" w:color="auto"/>
                                <w:bottom w:val="none" w:sz="0" w:space="0" w:color="auto"/>
                                <w:right w:val="none" w:sz="0" w:space="0" w:color="auto"/>
                              </w:divBdr>
                              <w:divsChild>
                                <w:div w:id="2128694625">
                                  <w:marLeft w:val="0"/>
                                  <w:marRight w:val="0"/>
                                  <w:marTop w:val="360"/>
                                  <w:marBottom w:val="0"/>
                                  <w:divBdr>
                                    <w:top w:val="none" w:sz="0" w:space="0" w:color="auto"/>
                                    <w:left w:val="none" w:sz="0" w:space="0" w:color="auto"/>
                                    <w:bottom w:val="none" w:sz="0" w:space="0" w:color="auto"/>
                                    <w:right w:val="none" w:sz="0" w:space="0" w:color="auto"/>
                                  </w:divBdr>
                                </w:div>
                              </w:divsChild>
                            </w:div>
                            <w:div w:id="109015127">
                              <w:marLeft w:val="0"/>
                              <w:marRight w:val="0"/>
                              <w:marTop w:val="0"/>
                              <w:marBottom w:val="0"/>
                              <w:divBdr>
                                <w:top w:val="none" w:sz="0" w:space="0" w:color="auto"/>
                                <w:left w:val="none" w:sz="0" w:space="0" w:color="auto"/>
                                <w:bottom w:val="none" w:sz="0" w:space="0" w:color="auto"/>
                                <w:right w:val="none" w:sz="0" w:space="0" w:color="auto"/>
                              </w:divBdr>
                              <w:divsChild>
                                <w:div w:id="52568082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685776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98443">
      <w:bodyDiv w:val="1"/>
      <w:marLeft w:val="0"/>
      <w:marRight w:val="0"/>
      <w:marTop w:val="0"/>
      <w:marBottom w:val="0"/>
      <w:divBdr>
        <w:top w:val="none" w:sz="0" w:space="0" w:color="auto"/>
        <w:left w:val="none" w:sz="0" w:space="0" w:color="auto"/>
        <w:bottom w:val="none" w:sz="0" w:space="0" w:color="auto"/>
        <w:right w:val="none" w:sz="0" w:space="0" w:color="auto"/>
      </w:divBdr>
    </w:div>
    <w:div w:id="683671781">
      <w:bodyDiv w:val="1"/>
      <w:marLeft w:val="0"/>
      <w:marRight w:val="0"/>
      <w:marTop w:val="0"/>
      <w:marBottom w:val="0"/>
      <w:divBdr>
        <w:top w:val="none" w:sz="0" w:space="0" w:color="auto"/>
        <w:left w:val="none" w:sz="0" w:space="0" w:color="auto"/>
        <w:bottom w:val="none" w:sz="0" w:space="0" w:color="auto"/>
        <w:right w:val="none" w:sz="0" w:space="0" w:color="auto"/>
      </w:divBdr>
    </w:div>
    <w:div w:id="742262849">
      <w:bodyDiv w:val="1"/>
      <w:marLeft w:val="0"/>
      <w:marRight w:val="0"/>
      <w:marTop w:val="0"/>
      <w:marBottom w:val="0"/>
      <w:divBdr>
        <w:top w:val="none" w:sz="0" w:space="0" w:color="auto"/>
        <w:left w:val="none" w:sz="0" w:space="0" w:color="auto"/>
        <w:bottom w:val="none" w:sz="0" w:space="0" w:color="auto"/>
        <w:right w:val="none" w:sz="0" w:space="0" w:color="auto"/>
      </w:divBdr>
    </w:div>
    <w:div w:id="785000991">
      <w:bodyDiv w:val="1"/>
      <w:marLeft w:val="0"/>
      <w:marRight w:val="0"/>
      <w:marTop w:val="0"/>
      <w:marBottom w:val="0"/>
      <w:divBdr>
        <w:top w:val="none" w:sz="0" w:space="0" w:color="auto"/>
        <w:left w:val="none" w:sz="0" w:space="0" w:color="auto"/>
        <w:bottom w:val="none" w:sz="0" w:space="0" w:color="auto"/>
        <w:right w:val="none" w:sz="0" w:space="0" w:color="auto"/>
      </w:divBdr>
    </w:div>
    <w:div w:id="852693426">
      <w:bodyDiv w:val="1"/>
      <w:marLeft w:val="0"/>
      <w:marRight w:val="0"/>
      <w:marTop w:val="0"/>
      <w:marBottom w:val="0"/>
      <w:divBdr>
        <w:top w:val="none" w:sz="0" w:space="0" w:color="auto"/>
        <w:left w:val="none" w:sz="0" w:space="0" w:color="auto"/>
        <w:bottom w:val="none" w:sz="0" w:space="0" w:color="auto"/>
        <w:right w:val="none" w:sz="0" w:space="0" w:color="auto"/>
      </w:divBdr>
    </w:div>
    <w:div w:id="974677244">
      <w:bodyDiv w:val="1"/>
      <w:marLeft w:val="0"/>
      <w:marRight w:val="0"/>
      <w:marTop w:val="0"/>
      <w:marBottom w:val="0"/>
      <w:divBdr>
        <w:top w:val="none" w:sz="0" w:space="0" w:color="auto"/>
        <w:left w:val="none" w:sz="0" w:space="0" w:color="auto"/>
        <w:bottom w:val="none" w:sz="0" w:space="0" w:color="auto"/>
        <w:right w:val="none" w:sz="0" w:space="0" w:color="auto"/>
      </w:divBdr>
    </w:div>
    <w:div w:id="977032136">
      <w:bodyDiv w:val="1"/>
      <w:marLeft w:val="0"/>
      <w:marRight w:val="0"/>
      <w:marTop w:val="0"/>
      <w:marBottom w:val="0"/>
      <w:divBdr>
        <w:top w:val="none" w:sz="0" w:space="0" w:color="auto"/>
        <w:left w:val="none" w:sz="0" w:space="0" w:color="auto"/>
        <w:bottom w:val="none" w:sz="0" w:space="0" w:color="auto"/>
        <w:right w:val="none" w:sz="0" w:space="0" w:color="auto"/>
      </w:divBdr>
    </w:div>
    <w:div w:id="1009604251">
      <w:bodyDiv w:val="1"/>
      <w:marLeft w:val="0"/>
      <w:marRight w:val="0"/>
      <w:marTop w:val="0"/>
      <w:marBottom w:val="0"/>
      <w:divBdr>
        <w:top w:val="none" w:sz="0" w:space="0" w:color="auto"/>
        <w:left w:val="none" w:sz="0" w:space="0" w:color="auto"/>
        <w:bottom w:val="none" w:sz="0" w:space="0" w:color="auto"/>
        <w:right w:val="none" w:sz="0" w:space="0" w:color="auto"/>
      </w:divBdr>
      <w:divsChild>
        <w:div w:id="1030032939">
          <w:marLeft w:val="274"/>
          <w:marRight w:val="0"/>
          <w:marTop w:val="0"/>
          <w:marBottom w:val="0"/>
          <w:divBdr>
            <w:top w:val="none" w:sz="0" w:space="0" w:color="auto"/>
            <w:left w:val="none" w:sz="0" w:space="0" w:color="auto"/>
            <w:bottom w:val="none" w:sz="0" w:space="0" w:color="auto"/>
            <w:right w:val="none" w:sz="0" w:space="0" w:color="auto"/>
          </w:divBdr>
        </w:div>
        <w:div w:id="1929384063">
          <w:marLeft w:val="274"/>
          <w:marRight w:val="0"/>
          <w:marTop w:val="0"/>
          <w:marBottom w:val="0"/>
          <w:divBdr>
            <w:top w:val="none" w:sz="0" w:space="0" w:color="auto"/>
            <w:left w:val="none" w:sz="0" w:space="0" w:color="auto"/>
            <w:bottom w:val="none" w:sz="0" w:space="0" w:color="auto"/>
            <w:right w:val="none" w:sz="0" w:space="0" w:color="auto"/>
          </w:divBdr>
        </w:div>
        <w:div w:id="1354576108">
          <w:marLeft w:val="274"/>
          <w:marRight w:val="0"/>
          <w:marTop w:val="0"/>
          <w:marBottom w:val="0"/>
          <w:divBdr>
            <w:top w:val="none" w:sz="0" w:space="0" w:color="auto"/>
            <w:left w:val="none" w:sz="0" w:space="0" w:color="auto"/>
            <w:bottom w:val="none" w:sz="0" w:space="0" w:color="auto"/>
            <w:right w:val="none" w:sz="0" w:space="0" w:color="auto"/>
          </w:divBdr>
        </w:div>
        <w:div w:id="539783730">
          <w:marLeft w:val="274"/>
          <w:marRight w:val="0"/>
          <w:marTop w:val="0"/>
          <w:marBottom w:val="0"/>
          <w:divBdr>
            <w:top w:val="none" w:sz="0" w:space="0" w:color="auto"/>
            <w:left w:val="none" w:sz="0" w:space="0" w:color="auto"/>
            <w:bottom w:val="none" w:sz="0" w:space="0" w:color="auto"/>
            <w:right w:val="none" w:sz="0" w:space="0" w:color="auto"/>
          </w:divBdr>
        </w:div>
        <w:div w:id="579678886">
          <w:marLeft w:val="274"/>
          <w:marRight w:val="0"/>
          <w:marTop w:val="0"/>
          <w:marBottom w:val="0"/>
          <w:divBdr>
            <w:top w:val="none" w:sz="0" w:space="0" w:color="auto"/>
            <w:left w:val="none" w:sz="0" w:space="0" w:color="auto"/>
            <w:bottom w:val="none" w:sz="0" w:space="0" w:color="auto"/>
            <w:right w:val="none" w:sz="0" w:space="0" w:color="auto"/>
          </w:divBdr>
        </w:div>
        <w:div w:id="254438693">
          <w:marLeft w:val="274"/>
          <w:marRight w:val="0"/>
          <w:marTop w:val="0"/>
          <w:marBottom w:val="0"/>
          <w:divBdr>
            <w:top w:val="none" w:sz="0" w:space="0" w:color="auto"/>
            <w:left w:val="none" w:sz="0" w:space="0" w:color="auto"/>
            <w:bottom w:val="none" w:sz="0" w:space="0" w:color="auto"/>
            <w:right w:val="none" w:sz="0" w:space="0" w:color="auto"/>
          </w:divBdr>
        </w:div>
      </w:divsChild>
    </w:div>
    <w:div w:id="1011571851">
      <w:bodyDiv w:val="1"/>
      <w:marLeft w:val="0"/>
      <w:marRight w:val="0"/>
      <w:marTop w:val="0"/>
      <w:marBottom w:val="0"/>
      <w:divBdr>
        <w:top w:val="none" w:sz="0" w:space="0" w:color="auto"/>
        <w:left w:val="none" w:sz="0" w:space="0" w:color="auto"/>
        <w:bottom w:val="none" w:sz="0" w:space="0" w:color="auto"/>
        <w:right w:val="none" w:sz="0" w:space="0" w:color="auto"/>
      </w:divBdr>
    </w:div>
    <w:div w:id="1023242191">
      <w:bodyDiv w:val="1"/>
      <w:marLeft w:val="0"/>
      <w:marRight w:val="0"/>
      <w:marTop w:val="0"/>
      <w:marBottom w:val="0"/>
      <w:divBdr>
        <w:top w:val="none" w:sz="0" w:space="0" w:color="auto"/>
        <w:left w:val="none" w:sz="0" w:space="0" w:color="auto"/>
        <w:bottom w:val="none" w:sz="0" w:space="0" w:color="auto"/>
        <w:right w:val="none" w:sz="0" w:space="0" w:color="auto"/>
      </w:divBdr>
    </w:div>
    <w:div w:id="1052385759">
      <w:bodyDiv w:val="1"/>
      <w:marLeft w:val="0"/>
      <w:marRight w:val="0"/>
      <w:marTop w:val="0"/>
      <w:marBottom w:val="0"/>
      <w:divBdr>
        <w:top w:val="none" w:sz="0" w:space="0" w:color="auto"/>
        <w:left w:val="none" w:sz="0" w:space="0" w:color="auto"/>
        <w:bottom w:val="none" w:sz="0" w:space="0" w:color="auto"/>
        <w:right w:val="none" w:sz="0" w:space="0" w:color="auto"/>
      </w:divBdr>
    </w:div>
    <w:div w:id="1063676523">
      <w:bodyDiv w:val="1"/>
      <w:marLeft w:val="0"/>
      <w:marRight w:val="0"/>
      <w:marTop w:val="0"/>
      <w:marBottom w:val="0"/>
      <w:divBdr>
        <w:top w:val="none" w:sz="0" w:space="0" w:color="auto"/>
        <w:left w:val="none" w:sz="0" w:space="0" w:color="auto"/>
        <w:bottom w:val="none" w:sz="0" w:space="0" w:color="auto"/>
        <w:right w:val="none" w:sz="0" w:space="0" w:color="auto"/>
      </w:divBdr>
    </w:div>
    <w:div w:id="1073817919">
      <w:bodyDiv w:val="1"/>
      <w:marLeft w:val="0"/>
      <w:marRight w:val="0"/>
      <w:marTop w:val="0"/>
      <w:marBottom w:val="0"/>
      <w:divBdr>
        <w:top w:val="none" w:sz="0" w:space="0" w:color="auto"/>
        <w:left w:val="none" w:sz="0" w:space="0" w:color="auto"/>
        <w:bottom w:val="none" w:sz="0" w:space="0" w:color="auto"/>
        <w:right w:val="none" w:sz="0" w:space="0" w:color="auto"/>
      </w:divBdr>
    </w:div>
    <w:div w:id="1080055149">
      <w:bodyDiv w:val="1"/>
      <w:marLeft w:val="0"/>
      <w:marRight w:val="0"/>
      <w:marTop w:val="0"/>
      <w:marBottom w:val="0"/>
      <w:divBdr>
        <w:top w:val="none" w:sz="0" w:space="0" w:color="auto"/>
        <w:left w:val="none" w:sz="0" w:space="0" w:color="auto"/>
        <w:bottom w:val="none" w:sz="0" w:space="0" w:color="auto"/>
        <w:right w:val="none" w:sz="0" w:space="0" w:color="auto"/>
      </w:divBdr>
    </w:div>
    <w:div w:id="1164786795">
      <w:bodyDiv w:val="1"/>
      <w:marLeft w:val="0"/>
      <w:marRight w:val="0"/>
      <w:marTop w:val="0"/>
      <w:marBottom w:val="0"/>
      <w:divBdr>
        <w:top w:val="none" w:sz="0" w:space="0" w:color="auto"/>
        <w:left w:val="none" w:sz="0" w:space="0" w:color="auto"/>
        <w:bottom w:val="none" w:sz="0" w:space="0" w:color="auto"/>
        <w:right w:val="none" w:sz="0" w:space="0" w:color="auto"/>
      </w:divBdr>
    </w:div>
    <w:div w:id="1204176587">
      <w:bodyDiv w:val="1"/>
      <w:marLeft w:val="0"/>
      <w:marRight w:val="0"/>
      <w:marTop w:val="0"/>
      <w:marBottom w:val="0"/>
      <w:divBdr>
        <w:top w:val="none" w:sz="0" w:space="0" w:color="auto"/>
        <w:left w:val="none" w:sz="0" w:space="0" w:color="auto"/>
        <w:bottom w:val="none" w:sz="0" w:space="0" w:color="auto"/>
        <w:right w:val="none" w:sz="0" w:space="0" w:color="auto"/>
      </w:divBdr>
    </w:div>
    <w:div w:id="1252616194">
      <w:bodyDiv w:val="1"/>
      <w:marLeft w:val="0"/>
      <w:marRight w:val="0"/>
      <w:marTop w:val="0"/>
      <w:marBottom w:val="0"/>
      <w:divBdr>
        <w:top w:val="none" w:sz="0" w:space="0" w:color="auto"/>
        <w:left w:val="none" w:sz="0" w:space="0" w:color="auto"/>
        <w:bottom w:val="none" w:sz="0" w:space="0" w:color="auto"/>
        <w:right w:val="none" w:sz="0" w:space="0" w:color="auto"/>
      </w:divBdr>
    </w:div>
    <w:div w:id="1271163113">
      <w:bodyDiv w:val="1"/>
      <w:marLeft w:val="0"/>
      <w:marRight w:val="0"/>
      <w:marTop w:val="0"/>
      <w:marBottom w:val="0"/>
      <w:divBdr>
        <w:top w:val="none" w:sz="0" w:space="0" w:color="auto"/>
        <w:left w:val="none" w:sz="0" w:space="0" w:color="auto"/>
        <w:bottom w:val="none" w:sz="0" w:space="0" w:color="auto"/>
        <w:right w:val="none" w:sz="0" w:space="0" w:color="auto"/>
      </w:divBdr>
    </w:div>
    <w:div w:id="1271739484">
      <w:bodyDiv w:val="1"/>
      <w:marLeft w:val="0"/>
      <w:marRight w:val="0"/>
      <w:marTop w:val="0"/>
      <w:marBottom w:val="0"/>
      <w:divBdr>
        <w:top w:val="none" w:sz="0" w:space="0" w:color="auto"/>
        <w:left w:val="none" w:sz="0" w:space="0" w:color="auto"/>
        <w:bottom w:val="none" w:sz="0" w:space="0" w:color="auto"/>
        <w:right w:val="none" w:sz="0" w:space="0" w:color="auto"/>
      </w:divBdr>
      <w:divsChild>
        <w:div w:id="1102796487">
          <w:marLeft w:val="0"/>
          <w:marRight w:val="0"/>
          <w:marTop w:val="0"/>
          <w:marBottom w:val="0"/>
          <w:divBdr>
            <w:top w:val="none" w:sz="0" w:space="0" w:color="auto"/>
            <w:left w:val="none" w:sz="0" w:space="0" w:color="auto"/>
            <w:bottom w:val="none" w:sz="0" w:space="0" w:color="auto"/>
            <w:right w:val="none" w:sz="0" w:space="0" w:color="auto"/>
          </w:divBdr>
          <w:divsChild>
            <w:div w:id="1144809734">
              <w:marLeft w:val="0"/>
              <w:marRight w:val="0"/>
              <w:marTop w:val="0"/>
              <w:marBottom w:val="0"/>
              <w:divBdr>
                <w:top w:val="none" w:sz="0" w:space="0" w:color="auto"/>
                <w:left w:val="none" w:sz="0" w:space="0" w:color="auto"/>
                <w:bottom w:val="none" w:sz="0" w:space="0" w:color="auto"/>
                <w:right w:val="none" w:sz="0" w:space="0" w:color="auto"/>
              </w:divBdr>
              <w:divsChild>
                <w:div w:id="16941824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47709839">
      <w:bodyDiv w:val="1"/>
      <w:marLeft w:val="0"/>
      <w:marRight w:val="0"/>
      <w:marTop w:val="0"/>
      <w:marBottom w:val="0"/>
      <w:divBdr>
        <w:top w:val="none" w:sz="0" w:space="0" w:color="auto"/>
        <w:left w:val="none" w:sz="0" w:space="0" w:color="auto"/>
        <w:bottom w:val="none" w:sz="0" w:space="0" w:color="auto"/>
        <w:right w:val="none" w:sz="0" w:space="0" w:color="auto"/>
      </w:divBdr>
    </w:div>
    <w:div w:id="1354920650">
      <w:bodyDiv w:val="1"/>
      <w:marLeft w:val="0"/>
      <w:marRight w:val="0"/>
      <w:marTop w:val="0"/>
      <w:marBottom w:val="0"/>
      <w:divBdr>
        <w:top w:val="none" w:sz="0" w:space="0" w:color="auto"/>
        <w:left w:val="none" w:sz="0" w:space="0" w:color="auto"/>
        <w:bottom w:val="none" w:sz="0" w:space="0" w:color="auto"/>
        <w:right w:val="none" w:sz="0" w:space="0" w:color="auto"/>
      </w:divBdr>
    </w:div>
    <w:div w:id="1372463175">
      <w:bodyDiv w:val="1"/>
      <w:marLeft w:val="0"/>
      <w:marRight w:val="0"/>
      <w:marTop w:val="0"/>
      <w:marBottom w:val="0"/>
      <w:divBdr>
        <w:top w:val="none" w:sz="0" w:space="0" w:color="auto"/>
        <w:left w:val="none" w:sz="0" w:space="0" w:color="auto"/>
        <w:bottom w:val="none" w:sz="0" w:space="0" w:color="auto"/>
        <w:right w:val="none" w:sz="0" w:space="0" w:color="auto"/>
      </w:divBdr>
      <w:divsChild>
        <w:div w:id="1873227166">
          <w:marLeft w:val="0"/>
          <w:marRight w:val="0"/>
          <w:marTop w:val="0"/>
          <w:marBottom w:val="180"/>
          <w:divBdr>
            <w:top w:val="none" w:sz="0" w:space="0" w:color="auto"/>
            <w:left w:val="none" w:sz="0" w:space="0" w:color="auto"/>
            <w:bottom w:val="none" w:sz="0" w:space="0" w:color="auto"/>
            <w:right w:val="none" w:sz="0" w:space="0" w:color="auto"/>
          </w:divBdr>
        </w:div>
        <w:div w:id="284972337">
          <w:marLeft w:val="0"/>
          <w:marRight w:val="0"/>
          <w:marTop w:val="0"/>
          <w:marBottom w:val="180"/>
          <w:divBdr>
            <w:top w:val="none" w:sz="0" w:space="0" w:color="auto"/>
            <w:left w:val="none" w:sz="0" w:space="0" w:color="auto"/>
            <w:bottom w:val="none" w:sz="0" w:space="0" w:color="auto"/>
            <w:right w:val="none" w:sz="0" w:space="0" w:color="auto"/>
          </w:divBdr>
        </w:div>
      </w:divsChild>
    </w:div>
    <w:div w:id="1374233262">
      <w:bodyDiv w:val="1"/>
      <w:marLeft w:val="0"/>
      <w:marRight w:val="0"/>
      <w:marTop w:val="0"/>
      <w:marBottom w:val="0"/>
      <w:divBdr>
        <w:top w:val="none" w:sz="0" w:space="0" w:color="auto"/>
        <w:left w:val="none" w:sz="0" w:space="0" w:color="auto"/>
        <w:bottom w:val="none" w:sz="0" w:space="0" w:color="auto"/>
        <w:right w:val="none" w:sz="0" w:space="0" w:color="auto"/>
      </w:divBdr>
    </w:div>
    <w:div w:id="1436900341">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69132778">
      <w:bodyDiv w:val="1"/>
      <w:marLeft w:val="0"/>
      <w:marRight w:val="0"/>
      <w:marTop w:val="0"/>
      <w:marBottom w:val="0"/>
      <w:divBdr>
        <w:top w:val="none" w:sz="0" w:space="0" w:color="auto"/>
        <w:left w:val="none" w:sz="0" w:space="0" w:color="auto"/>
        <w:bottom w:val="none" w:sz="0" w:space="0" w:color="auto"/>
        <w:right w:val="none" w:sz="0" w:space="0" w:color="auto"/>
      </w:divBdr>
    </w:div>
    <w:div w:id="1470126228">
      <w:bodyDiv w:val="1"/>
      <w:marLeft w:val="0"/>
      <w:marRight w:val="0"/>
      <w:marTop w:val="0"/>
      <w:marBottom w:val="0"/>
      <w:divBdr>
        <w:top w:val="none" w:sz="0" w:space="0" w:color="auto"/>
        <w:left w:val="none" w:sz="0" w:space="0" w:color="auto"/>
        <w:bottom w:val="none" w:sz="0" w:space="0" w:color="auto"/>
        <w:right w:val="none" w:sz="0" w:space="0" w:color="auto"/>
      </w:divBdr>
    </w:div>
    <w:div w:id="1535776302">
      <w:bodyDiv w:val="1"/>
      <w:marLeft w:val="0"/>
      <w:marRight w:val="0"/>
      <w:marTop w:val="0"/>
      <w:marBottom w:val="0"/>
      <w:divBdr>
        <w:top w:val="none" w:sz="0" w:space="0" w:color="auto"/>
        <w:left w:val="none" w:sz="0" w:space="0" w:color="auto"/>
        <w:bottom w:val="none" w:sz="0" w:space="0" w:color="auto"/>
        <w:right w:val="none" w:sz="0" w:space="0" w:color="auto"/>
      </w:divBdr>
      <w:divsChild>
        <w:div w:id="957563577">
          <w:marLeft w:val="274"/>
          <w:marRight w:val="0"/>
          <w:marTop w:val="0"/>
          <w:marBottom w:val="0"/>
          <w:divBdr>
            <w:top w:val="none" w:sz="0" w:space="0" w:color="auto"/>
            <w:left w:val="none" w:sz="0" w:space="0" w:color="auto"/>
            <w:bottom w:val="none" w:sz="0" w:space="0" w:color="auto"/>
            <w:right w:val="none" w:sz="0" w:space="0" w:color="auto"/>
          </w:divBdr>
        </w:div>
        <w:div w:id="819077635">
          <w:marLeft w:val="274"/>
          <w:marRight w:val="0"/>
          <w:marTop w:val="0"/>
          <w:marBottom w:val="0"/>
          <w:divBdr>
            <w:top w:val="none" w:sz="0" w:space="0" w:color="auto"/>
            <w:left w:val="none" w:sz="0" w:space="0" w:color="auto"/>
            <w:bottom w:val="none" w:sz="0" w:space="0" w:color="auto"/>
            <w:right w:val="none" w:sz="0" w:space="0" w:color="auto"/>
          </w:divBdr>
        </w:div>
        <w:div w:id="288822458">
          <w:marLeft w:val="274"/>
          <w:marRight w:val="0"/>
          <w:marTop w:val="0"/>
          <w:marBottom w:val="0"/>
          <w:divBdr>
            <w:top w:val="none" w:sz="0" w:space="0" w:color="auto"/>
            <w:left w:val="none" w:sz="0" w:space="0" w:color="auto"/>
            <w:bottom w:val="none" w:sz="0" w:space="0" w:color="auto"/>
            <w:right w:val="none" w:sz="0" w:space="0" w:color="auto"/>
          </w:divBdr>
        </w:div>
        <w:div w:id="302320957">
          <w:marLeft w:val="274"/>
          <w:marRight w:val="0"/>
          <w:marTop w:val="0"/>
          <w:marBottom w:val="0"/>
          <w:divBdr>
            <w:top w:val="none" w:sz="0" w:space="0" w:color="auto"/>
            <w:left w:val="none" w:sz="0" w:space="0" w:color="auto"/>
            <w:bottom w:val="none" w:sz="0" w:space="0" w:color="auto"/>
            <w:right w:val="none" w:sz="0" w:space="0" w:color="auto"/>
          </w:divBdr>
        </w:div>
      </w:divsChild>
    </w:div>
    <w:div w:id="1581409527">
      <w:bodyDiv w:val="1"/>
      <w:marLeft w:val="0"/>
      <w:marRight w:val="0"/>
      <w:marTop w:val="0"/>
      <w:marBottom w:val="0"/>
      <w:divBdr>
        <w:top w:val="none" w:sz="0" w:space="0" w:color="auto"/>
        <w:left w:val="none" w:sz="0" w:space="0" w:color="auto"/>
        <w:bottom w:val="none" w:sz="0" w:space="0" w:color="auto"/>
        <w:right w:val="none" w:sz="0" w:space="0" w:color="auto"/>
      </w:divBdr>
    </w:div>
    <w:div w:id="1621758960">
      <w:bodyDiv w:val="1"/>
      <w:marLeft w:val="0"/>
      <w:marRight w:val="0"/>
      <w:marTop w:val="0"/>
      <w:marBottom w:val="0"/>
      <w:divBdr>
        <w:top w:val="none" w:sz="0" w:space="0" w:color="auto"/>
        <w:left w:val="none" w:sz="0" w:space="0" w:color="auto"/>
        <w:bottom w:val="none" w:sz="0" w:space="0" w:color="auto"/>
        <w:right w:val="none" w:sz="0" w:space="0" w:color="auto"/>
      </w:divBdr>
    </w:div>
    <w:div w:id="1689529362">
      <w:bodyDiv w:val="1"/>
      <w:marLeft w:val="0"/>
      <w:marRight w:val="0"/>
      <w:marTop w:val="0"/>
      <w:marBottom w:val="0"/>
      <w:divBdr>
        <w:top w:val="none" w:sz="0" w:space="0" w:color="auto"/>
        <w:left w:val="none" w:sz="0" w:space="0" w:color="auto"/>
        <w:bottom w:val="none" w:sz="0" w:space="0" w:color="auto"/>
        <w:right w:val="none" w:sz="0" w:space="0" w:color="auto"/>
      </w:divBdr>
    </w:div>
    <w:div w:id="1729649691">
      <w:bodyDiv w:val="1"/>
      <w:marLeft w:val="0"/>
      <w:marRight w:val="0"/>
      <w:marTop w:val="0"/>
      <w:marBottom w:val="0"/>
      <w:divBdr>
        <w:top w:val="none" w:sz="0" w:space="0" w:color="auto"/>
        <w:left w:val="none" w:sz="0" w:space="0" w:color="auto"/>
        <w:bottom w:val="none" w:sz="0" w:space="0" w:color="auto"/>
        <w:right w:val="none" w:sz="0" w:space="0" w:color="auto"/>
      </w:divBdr>
    </w:div>
    <w:div w:id="1789281036">
      <w:bodyDiv w:val="1"/>
      <w:marLeft w:val="0"/>
      <w:marRight w:val="0"/>
      <w:marTop w:val="0"/>
      <w:marBottom w:val="0"/>
      <w:divBdr>
        <w:top w:val="none" w:sz="0" w:space="0" w:color="auto"/>
        <w:left w:val="none" w:sz="0" w:space="0" w:color="auto"/>
        <w:bottom w:val="none" w:sz="0" w:space="0" w:color="auto"/>
        <w:right w:val="none" w:sz="0" w:space="0" w:color="auto"/>
      </w:divBdr>
    </w:div>
    <w:div w:id="1822044530">
      <w:bodyDiv w:val="1"/>
      <w:marLeft w:val="0"/>
      <w:marRight w:val="0"/>
      <w:marTop w:val="0"/>
      <w:marBottom w:val="0"/>
      <w:divBdr>
        <w:top w:val="none" w:sz="0" w:space="0" w:color="auto"/>
        <w:left w:val="none" w:sz="0" w:space="0" w:color="auto"/>
        <w:bottom w:val="none" w:sz="0" w:space="0" w:color="auto"/>
        <w:right w:val="none" w:sz="0" w:space="0" w:color="auto"/>
      </w:divBdr>
    </w:div>
    <w:div w:id="1826047905">
      <w:bodyDiv w:val="1"/>
      <w:marLeft w:val="0"/>
      <w:marRight w:val="0"/>
      <w:marTop w:val="0"/>
      <w:marBottom w:val="0"/>
      <w:divBdr>
        <w:top w:val="none" w:sz="0" w:space="0" w:color="auto"/>
        <w:left w:val="none" w:sz="0" w:space="0" w:color="auto"/>
        <w:bottom w:val="none" w:sz="0" w:space="0" w:color="auto"/>
        <w:right w:val="none" w:sz="0" w:space="0" w:color="auto"/>
      </w:divBdr>
    </w:div>
    <w:div w:id="1872838859">
      <w:bodyDiv w:val="1"/>
      <w:marLeft w:val="0"/>
      <w:marRight w:val="0"/>
      <w:marTop w:val="0"/>
      <w:marBottom w:val="0"/>
      <w:divBdr>
        <w:top w:val="none" w:sz="0" w:space="0" w:color="auto"/>
        <w:left w:val="none" w:sz="0" w:space="0" w:color="auto"/>
        <w:bottom w:val="none" w:sz="0" w:space="0" w:color="auto"/>
        <w:right w:val="none" w:sz="0" w:space="0" w:color="auto"/>
      </w:divBdr>
    </w:div>
    <w:div w:id="1886142167">
      <w:bodyDiv w:val="1"/>
      <w:marLeft w:val="0"/>
      <w:marRight w:val="0"/>
      <w:marTop w:val="0"/>
      <w:marBottom w:val="0"/>
      <w:divBdr>
        <w:top w:val="none" w:sz="0" w:space="0" w:color="auto"/>
        <w:left w:val="none" w:sz="0" w:space="0" w:color="auto"/>
        <w:bottom w:val="none" w:sz="0" w:space="0" w:color="auto"/>
        <w:right w:val="none" w:sz="0" w:space="0" w:color="auto"/>
      </w:divBdr>
    </w:div>
    <w:div w:id="1944457127">
      <w:bodyDiv w:val="1"/>
      <w:marLeft w:val="0"/>
      <w:marRight w:val="0"/>
      <w:marTop w:val="0"/>
      <w:marBottom w:val="0"/>
      <w:divBdr>
        <w:top w:val="none" w:sz="0" w:space="0" w:color="auto"/>
        <w:left w:val="none" w:sz="0" w:space="0" w:color="auto"/>
        <w:bottom w:val="none" w:sz="0" w:space="0" w:color="auto"/>
        <w:right w:val="none" w:sz="0" w:space="0" w:color="auto"/>
      </w:divBdr>
    </w:div>
    <w:div w:id="1969778645">
      <w:bodyDiv w:val="1"/>
      <w:marLeft w:val="0"/>
      <w:marRight w:val="0"/>
      <w:marTop w:val="0"/>
      <w:marBottom w:val="0"/>
      <w:divBdr>
        <w:top w:val="none" w:sz="0" w:space="0" w:color="auto"/>
        <w:left w:val="none" w:sz="0" w:space="0" w:color="auto"/>
        <w:bottom w:val="none" w:sz="0" w:space="0" w:color="auto"/>
        <w:right w:val="none" w:sz="0" w:space="0" w:color="auto"/>
      </w:divBdr>
    </w:div>
    <w:div w:id="1986428182">
      <w:bodyDiv w:val="1"/>
      <w:marLeft w:val="0"/>
      <w:marRight w:val="0"/>
      <w:marTop w:val="0"/>
      <w:marBottom w:val="0"/>
      <w:divBdr>
        <w:top w:val="none" w:sz="0" w:space="0" w:color="auto"/>
        <w:left w:val="none" w:sz="0" w:space="0" w:color="auto"/>
        <w:bottom w:val="none" w:sz="0" w:space="0" w:color="auto"/>
        <w:right w:val="none" w:sz="0" w:space="0" w:color="auto"/>
      </w:divBdr>
    </w:div>
    <w:div w:id="2029988148">
      <w:bodyDiv w:val="1"/>
      <w:marLeft w:val="0"/>
      <w:marRight w:val="0"/>
      <w:marTop w:val="0"/>
      <w:marBottom w:val="0"/>
      <w:divBdr>
        <w:top w:val="none" w:sz="0" w:space="0" w:color="auto"/>
        <w:left w:val="none" w:sz="0" w:space="0" w:color="auto"/>
        <w:bottom w:val="none" w:sz="0" w:space="0" w:color="auto"/>
        <w:right w:val="none" w:sz="0" w:space="0" w:color="auto"/>
      </w:divBdr>
    </w:div>
    <w:div w:id="2067412233">
      <w:bodyDiv w:val="1"/>
      <w:marLeft w:val="0"/>
      <w:marRight w:val="0"/>
      <w:marTop w:val="0"/>
      <w:marBottom w:val="0"/>
      <w:divBdr>
        <w:top w:val="none" w:sz="0" w:space="0" w:color="auto"/>
        <w:left w:val="none" w:sz="0" w:space="0" w:color="auto"/>
        <w:bottom w:val="none" w:sz="0" w:space="0" w:color="auto"/>
        <w:right w:val="none" w:sz="0" w:space="0" w:color="auto"/>
      </w:divBdr>
    </w:div>
    <w:div w:id="2088771807">
      <w:bodyDiv w:val="1"/>
      <w:marLeft w:val="0"/>
      <w:marRight w:val="0"/>
      <w:marTop w:val="0"/>
      <w:marBottom w:val="0"/>
      <w:divBdr>
        <w:top w:val="none" w:sz="0" w:space="0" w:color="auto"/>
        <w:left w:val="none" w:sz="0" w:space="0" w:color="auto"/>
        <w:bottom w:val="none" w:sz="0" w:space="0" w:color="auto"/>
        <w:right w:val="none" w:sz="0" w:space="0" w:color="auto"/>
      </w:divBdr>
    </w:div>
    <w:div w:id="2095860830">
      <w:bodyDiv w:val="1"/>
      <w:marLeft w:val="0"/>
      <w:marRight w:val="0"/>
      <w:marTop w:val="0"/>
      <w:marBottom w:val="0"/>
      <w:divBdr>
        <w:top w:val="none" w:sz="0" w:space="0" w:color="auto"/>
        <w:left w:val="none" w:sz="0" w:space="0" w:color="auto"/>
        <w:bottom w:val="none" w:sz="0" w:space="0" w:color="auto"/>
        <w:right w:val="none" w:sz="0" w:space="0" w:color="auto"/>
      </w:divBdr>
    </w:div>
    <w:div w:id="2096440247">
      <w:bodyDiv w:val="1"/>
      <w:marLeft w:val="0"/>
      <w:marRight w:val="0"/>
      <w:marTop w:val="0"/>
      <w:marBottom w:val="0"/>
      <w:divBdr>
        <w:top w:val="none" w:sz="0" w:space="0" w:color="auto"/>
        <w:left w:val="none" w:sz="0" w:space="0" w:color="auto"/>
        <w:bottom w:val="none" w:sz="0" w:space="0" w:color="auto"/>
        <w:right w:val="none" w:sz="0" w:space="0" w:color="auto"/>
      </w:divBdr>
    </w:div>
    <w:div w:id="2100827768">
      <w:bodyDiv w:val="1"/>
      <w:marLeft w:val="0"/>
      <w:marRight w:val="0"/>
      <w:marTop w:val="0"/>
      <w:marBottom w:val="0"/>
      <w:divBdr>
        <w:top w:val="none" w:sz="0" w:space="0" w:color="auto"/>
        <w:left w:val="none" w:sz="0" w:space="0" w:color="auto"/>
        <w:bottom w:val="none" w:sz="0" w:space="0" w:color="auto"/>
        <w:right w:val="none" w:sz="0" w:space="0" w:color="auto"/>
      </w:divBdr>
    </w:div>
    <w:div w:id="2105570210">
      <w:bodyDiv w:val="1"/>
      <w:marLeft w:val="0"/>
      <w:marRight w:val="0"/>
      <w:marTop w:val="0"/>
      <w:marBottom w:val="0"/>
      <w:divBdr>
        <w:top w:val="none" w:sz="0" w:space="0" w:color="auto"/>
        <w:left w:val="none" w:sz="0" w:space="0" w:color="auto"/>
        <w:bottom w:val="none" w:sz="0" w:space="0" w:color="auto"/>
        <w:right w:val="none" w:sz="0" w:space="0" w:color="auto"/>
      </w:divBdr>
    </w:div>
    <w:div w:id="21264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s.gov/news.release" TargetMode="External"/><Relationship Id="rId18" Type="http://schemas.openxmlformats.org/officeDocument/2006/relationships/hyperlink" Target="http://www.forb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hyperlink" Target="http://www.federalreserve.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cn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orbes.com/sites/dereksaul/2023/09/29/stocks-suffer-worst-quarter-of-2023-as-good-vibes-dry-out/" TargetMode="External"/><Relationship Id="rId10" Type="http://schemas.openxmlformats.org/officeDocument/2006/relationships/image" Target="media/image3.png"/><Relationship Id="rId19" Type="http://schemas.openxmlformats.org/officeDocument/2006/relationships/hyperlink" Target="http://www.forb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8CB-75AD-4767-B0D2-552E3AC0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2200</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Allard</dc:creator>
  <cp:keywords/>
  <dc:description/>
  <cp:lastModifiedBy>barb</cp:lastModifiedBy>
  <cp:revision>2</cp:revision>
  <cp:lastPrinted>2024-10-07T16:32:00Z</cp:lastPrinted>
  <dcterms:created xsi:type="dcterms:W3CDTF">2024-10-23T14:07:00Z</dcterms:created>
  <dcterms:modified xsi:type="dcterms:W3CDTF">2024-10-23T14:07:00Z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fd456aa474f8bfc8c72641253d0a35ed807d894ceaa864fa4997c36fb4908d89</vt:lpwstr>
  </property>
</Properties>
</file>